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特克斯县高级中学</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特克斯县高级中学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rPr>
        <w:t>1、认真贯彻落实党的教育方针，积极配合教育行政部门做好教育教学指导工作；</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rPr>
        <w:t>2、培养德智体全面发展的社会主义接班人；</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rPr>
        <w:t>3、坚持以教学为中心，领导教学工作，坚持兼课深入课堂，抓好教学工作。了解教师教学和学生学习情况。指导教导处搞好教学实验和教改工作。积极引导教师进行教育科学研究，不断改进教学方法。</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4、坚持勤俭办学的原则，努力改善办学条件。校长对学校的财产开支认真管理，定时审批和检查，引导后勤人员树立为教学服务、为师生服务的思想，管理好学校的校舍和一切校产、经费，开展各项活动，搞好教育发展工作，逐步改善教师的工作环境，关心职工生活，善于为教职工排忧解难。</w:t>
      </w:r>
    </w:p>
    <w:p>
      <w:pPr>
        <w:pStyle w:val="5"/>
        <w:spacing w:line="360" w:lineRule="auto"/>
        <w:ind w:firstLine="562" w:firstLineChars="200"/>
        <w:rPr>
          <w:rStyle w:val="16"/>
          <w:rFonts w:hint="eastAsia" w:ascii="仿宋" w:hAnsi="仿宋" w:eastAsia="仿宋"/>
          <w:b/>
          <w:bCs/>
        </w:rPr>
      </w:pPr>
      <w:bookmarkStart w:id="4" w:name="_Toc70450292"/>
      <w:r>
        <w:rPr>
          <w:rStyle w:val="16"/>
          <w:rFonts w:hint="eastAsia" w:ascii="仿宋" w:hAnsi="仿宋" w:eastAsia="仿宋"/>
          <w:b/>
          <w:bCs/>
        </w:rPr>
        <w:t>2、机构人员构成</w:t>
      </w:r>
      <w:bookmarkEnd w:id="4"/>
    </w:p>
    <w:p>
      <w:pPr>
        <w:pStyle w:val="5"/>
        <w:spacing w:line="360" w:lineRule="auto"/>
        <w:ind w:firstLine="544" w:firstLineChars="200"/>
        <w:rPr>
          <w:rStyle w:val="16"/>
          <w:rFonts w:hint="eastAsia" w:ascii="仿宋_GB2312" w:hAnsi="楷体" w:eastAsia="仿宋_GB2312"/>
          <w:b w:val="0"/>
          <w:bCs/>
          <w:spacing w:val="-4"/>
          <w:sz w:val="28"/>
          <w:szCs w:val="28"/>
        </w:rPr>
      </w:pPr>
      <w:r>
        <w:rPr>
          <w:rStyle w:val="16"/>
          <w:rFonts w:hint="eastAsia" w:ascii="仿宋_GB2312" w:hAnsi="楷体" w:eastAsia="仿宋_GB2312"/>
          <w:b w:val="0"/>
          <w:bCs/>
          <w:spacing w:val="-4"/>
          <w:sz w:val="28"/>
          <w:szCs w:val="28"/>
        </w:rPr>
        <w:t>（1）组织机构设置：</w:t>
      </w:r>
    </w:p>
    <w:p>
      <w:pPr>
        <w:spacing w:line="360" w:lineRule="auto"/>
        <w:ind w:firstLine="544" w:firstLineChars="200"/>
        <w:rPr>
          <w:rStyle w:val="16"/>
          <w:rFonts w:hint="eastAsia" w:ascii="仿宋_GB2312" w:hAnsi="楷体" w:eastAsia="仿宋_GB2312"/>
          <w:b w:val="0"/>
          <w:spacing w:val="-4"/>
          <w:sz w:val="28"/>
          <w:szCs w:val="28"/>
        </w:rPr>
      </w:pPr>
      <w:bookmarkStart w:id="5" w:name="_Toc70450293"/>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无下属预算单位，下设</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室，分别是：办公室、教务处、</w:t>
      </w:r>
      <w:r>
        <w:rPr>
          <w:rStyle w:val="16"/>
          <w:rFonts w:hint="eastAsia" w:ascii="仿宋_GB2312" w:hAnsi="楷体" w:eastAsia="仿宋_GB2312"/>
          <w:b w:val="0"/>
          <w:spacing w:val="-4"/>
          <w:sz w:val="28"/>
          <w:szCs w:val="28"/>
          <w:lang w:eastAsia="zh-CN"/>
        </w:rPr>
        <w:t>政教处</w:t>
      </w:r>
      <w:r>
        <w:rPr>
          <w:rStyle w:val="16"/>
          <w:rFonts w:hint="eastAsia" w:ascii="仿宋_GB2312" w:hAnsi="楷体" w:eastAsia="仿宋_GB2312"/>
          <w:b w:val="0"/>
          <w:spacing w:val="-4"/>
          <w:sz w:val="28"/>
          <w:szCs w:val="28"/>
        </w:rPr>
        <w:t>、教研室、总务处、工会、党建办</w:t>
      </w:r>
      <w:r>
        <w:rPr>
          <w:rStyle w:val="16"/>
          <w:rFonts w:hint="eastAsia" w:ascii="仿宋_GB2312" w:hAnsi="楷体" w:eastAsia="仿宋_GB2312"/>
          <w:b w:val="0"/>
          <w:spacing w:val="-4"/>
          <w:sz w:val="28"/>
          <w:szCs w:val="28"/>
          <w:lang w:eastAsia="zh-CN"/>
        </w:rPr>
        <w:t>、校办</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257</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事业在职257人</w:t>
      </w:r>
      <w:r>
        <w:rPr>
          <w:rStyle w:val="16"/>
          <w:rFonts w:hint="eastAsia" w:ascii="仿宋_GB2312" w:hAnsi="楷体" w:eastAsia="仿宋_GB2312"/>
          <w:b w:val="0"/>
          <w:spacing w:val="-4"/>
          <w:sz w:val="28"/>
          <w:szCs w:val="28"/>
        </w:rPr>
        <w:t>（上年</w:t>
      </w:r>
      <w:r>
        <w:rPr>
          <w:rStyle w:val="16"/>
          <w:rFonts w:hint="eastAsia" w:ascii="仿宋_GB2312" w:hAnsi="楷体" w:eastAsia="仿宋_GB2312"/>
          <w:b w:val="0"/>
          <w:spacing w:val="-4"/>
          <w:sz w:val="28"/>
          <w:szCs w:val="28"/>
          <w:lang w:val="en-US" w:eastAsia="zh-CN"/>
        </w:rPr>
        <w:t>251</w:t>
      </w:r>
      <w:r>
        <w:rPr>
          <w:rStyle w:val="16"/>
          <w:rFonts w:hint="eastAsia" w:ascii="仿宋_GB2312" w:hAnsi="楷体" w:eastAsia="仿宋_GB2312"/>
          <w:b w:val="0"/>
          <w:spacing w:val="-4"/>
          <w:sz w:val="28"/>
          <w:szCs w:val="28"/>
        </w:rPr>
        <w:t>人），同比上年增加</w:t>
      </w:r>
      <w:r>
        <w:rPr>
          <w:rStyle w:val="16"/>
          <w:rFonts w:hint="eastAsia" w:ascii="仿宋_GB2312" w:hAnsi="楷体" w:eastAsia="仿宋_GB2312"/>
          <w:b w:val="0"/>
          <w:spacing w:val="-4"/>
          <w:sz w:val="28"/>
          <w:szCs w:val="28"/>
          <w:lang w:val="en-US" w:eastAsia="zh-CN"/>
        </w:rPr>
        <w:t>6人；</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98</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96</w:t>
      </w:r>
      <w:r>
        <w:rPr>
          <w:rStyle w:val="16"/>
          <w:rFonts w:hint="eastAsia" w:ascii="仿宋_GB2312" w:hAnsi="楷体" w:eastAsia="仿宋_GB2312"/>
          <w:b w:val="0"/>
          <w:spacing w:val="-4"/>
          <w:sz w:val="28"/>
          <w:szCs w:val="28"/>
        </w:rPr>
        <w:t>人）,同比上年</w:t>
      </w:r>
      <w:r>
        <w:rPr>
          <w:rStyle w:val="16"/>
          <w:rFonts w:hint="eastAsia" w:ascii="仿宋_GB2312" w:hAnsi="楷体" w:eastAsia="仿宋_GB2312"/>
          <w:b w:val="0"/>
          <w:spacing w:val="-4"/>
          <w:sz w:val="28"/>
          <w:szCs w:val="28"/>
          <w:lang w:val="en-US" w:eastAsia="zh-CN"/>
        </w:rPr>
        <w:t>增加2人</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r>
        <w:rPr>
          <w:rStyle w:val="16"/>
          <w:rFonts w:ascii="仿宋" w:hAnsi="仿宋" w:eastAsia="仿宋"/>
          <w:b/>
          <w:bCs/>
        </w:rPr>
        <w:t>3</w:t>
      </w:r>
      <w:r>
        <w:rPr>
          <w:rStyle w:val="16"/>
          <w:rFonts w:hint="eastAsia" w:ascii="仿宋" w:hAnsi="仿宋" w:eastAsia="仿宋"/>
          <w:b/>
          <w:bCs/>
        </w:rPr>
        <w:t>、重点工作计划</w:t>
      </w:r>
      <w:bookmarkEnd w:id="5"/>
    </w:p>
    <w:p>
      <w:pPr>
        <w:pStyle w:val="4"/>
        <w:spacing w:line="360" w:lineRule="auto"/>
        <w:ind w:firstLine="133" w:firstLineChars="49"/>
        <w:rPr>
          <w:rStyle w:val="16"/>
          <w:rFonts w:hint="eastAsia" w:ascii="仿宋_GB2312" w:hAnsi="楷体" w:eastAsia="仿宋_GB2312"/>
          <w:b w:val="0"/>
          <w:bCs/>
          <w:spacing w:val="-4"/>
          <w:sz w:val="28"/>
          <w:szCs w:val="28"/>
          <w:highlight w:val="none"/>
        </w:rPr>
      </w:pPr>
      <w:bookmarkStart w:id="6" w:name="_Toc70450294"/>
      <w:r>
        <w:rPr>
          <w:rStyle w:val="16"/>
          <w:rFonts w:hint="eastAsia" w:ascii="仿宋_GB2312" w:hAnsi="楷体" w:eastAsia="仿宋_GB2312"/>
          <w:b w:val="0"/>
          <w:bCs/>
          <w:spacing w:val="-4"/>
          <w:sz w:val="28"/>
          <w:szCs w:val="28"/>
          <w:highlight w:val="none"/>
        </w:rPr>
        <w:t>（1）确保人员经费的合理分配。</w:t>
      </w:r>
    </w:p>
    <w:p>
      <w:pPr>
        <w:pStyle w:val="4"/>
        <w:spacing w:line="360" w:lineRule="auto"/>
        <w:ind w:firstLine="133" w:firstLineChars="49"/>
        <w:rPr>
          <w:rStyle w:val="16"/>
          <w:rFonts w:hint="eastAsia" w:ascii="仿宋_GB2312" w:hAnsi="楷体" w:eastAsia="仿宋_GB2312"/>
          <w:b w:val="0"/>
          <w:bCs/>
          <w:spacing w:val="-4"/>
          <w:sz w:val="28"/>
          <w:szCs w:val="28"/>
          <w:highlight w:val="none"/>
        </w:rPr>
      </w:pPr>
      <w:r>
        <w:rPr>
          <w:rStyle w:val="16"/>
          <w:rFonts w:hint="eastAsia" w:ascii="仿宋_GB2312" w:hAnsi="楷体" w:eastAsia="仿宋_GB2312"/>
          <w:b w:val="0"/>
          <w:bCs/>
          <w:spacing w:val="-4"/>
          <w:sz w:val="28"/>
          <w:szCs w:val="28"/>
          <w:highlight w:val="none"/>
        </w:rPr>
        <w:t>（2）完成在职教师工资发放、按时完成社保、公积金缴纳。</w:t>
      </w:r>
    </w:p>
    <w:p>
      <w:pPr>
        <w:pStyle w:val="4"/>
        <w:spacing w:line="360" w:lineRule="auto"/>
        <w:ind w:firstLine="133" w:firstLineChars="49"/>
        <w:rPr>
          <w:rStyle w:val="16"/>
          <w:rFonts w:hint="eastAsia" w:ascii="仿宋_GB2312" w:hAnsi="楷体" w:eastAsia="仿宋_GB2312"/>
          <w:b w:val="0"/>
          <w:bCs/>
          <w:spacing w:val="-4"/>
          <w:sz w:val="28"/>
          <w:szCs w:val="28"/>
          <w:highlight w:val="none"/>
        </w:rPr>
      </w:pPr>
      <w:r>
        <w:rPr>
          <w:rStyle w:val="16"/>
          <w:rFonts w:hint="eastAsia" w:ascii="仿宋_GB2312" w:hAnsi="楷体" w:eastAsia="仿宋_GB2312"/>
          <w:b w:val="0"/>
          <w:bCs/>
          <w:spacing w:val="-4"/>
          <w:sz w:val="28"/>
          <w:szCs w:val="28"/>
          <w:highlight w:val="none"/>
        </w:rPr>
        <w:t>（3）及时完成退休教师取暖费、计生奖励金按时发放。</w:t>
      </w:r>
    </w:p>
    <w:p>
      <w:pPr>
        <w:pStyle w:val="4"/>
        <w:spacing w:line="360" w:lineRule="auto"/>
        <w:ind w:firstLine="133" w:firstLineChars="49"/>
        <w:rPr>
          <w:rStyle w:val="16"/>
          <w:rFonts w:hint="eastAsia" w:ascii="仿宋_GB2312" w:hAnsi="楷体" w:eastAsia="仿宋_GB2312"/>
          <w:b w:val="0"/>
          <w:bCs/>
          <w:spacing w:val="-4"/>
          <w:sz w:val="28"/>
          <w:szCs w:val="28"/>
          <w:highlight w:val="none"/>
        </w:rPr>
      </w:pPr>
      <w:r>
        <w:rPr>
          <w:rStyle w:val="16"/>
          <w:rFonts w:hint="eastAsia" w:ascii="仿宋_GB2312" w:hAnsi="楷体" w:eastAsia="仿宋_GB2312"/>
          <w:b w:val="0"/>
          <w:bCs/>
          <w:spacing w:val="-4"/>
          <w:sz w:val="28"/>
          <w:szCs w:val="28"/>
          <w:highlight w:val="none"/>
        </w:rPr>
        <w:t>（4）全面推进各类教师能力提升培训，加强教师队伍建设。完成好教育教学管理工作，深化教学改革，提高保教质量。</w:t>
      </w:r>
    </w:p>
    <w:p>
      <w:pPr>
        <w:pStyle w:val="4"/>
        <w:spacing w:line="360" w:lineRule="auto"/>
        <w:ind w:firstLine="133" w:firstLineChars="49"/>
        <w:rPr>
          <w:rStyle w:val="16"/>
          <w:rFonts w:hint="eastAsia" w:ascii="仿宋_GB2312" w:hAnsi="楷体" w:eastAsia="仿宋_GB2312"/>
          <w:b w:val="0"/>
          <w:bCs/>
          <w:spacing w:val="-4"/>
          <w:sz w:val="28"/>
          <w:szCs w:val="28"/>
          <w:highlight w:val="none"/>
        </w:rPr>
      </w:pPr>
      <w:r>
        <w:rPr>
          <w:rStyle w:val="16"/>
          <w:rFonts w:hint="eastAsia" w:ascii="仿宋_GB2312" w:hAnsi="楷体" w:eastAsia="仿宋_GB2312"/>
          <w:b w:val="0"/>
          <w:bCs/>
          <w:spacing w:val="-4"/>
          <w:sz w:val="28"/>
          <w:szCs w:val="28"/>
          <w:highlight w:val="none"/>
        </w:rPr>
        <w:t>（5）完成每年教学任务，推动特色课程改造，优化教学质量。</w:t>
      </w:r>
    </w:p>
    <w:p>
      <w:pPr>
        <w:pStyle w:val="4"/>
        <w:spacing w:line="360" w:lineRule="auto"/>
        <w:ind w:firstLine="133" w:firstLineChars="49"/>
        <w:rPr>
          <w:rStyle w:val="16"/>
          <w:rFonts w:hint="eastAsia" w:ascii="仿宋_GB2312" w:hAnsi="楷体" w:eastAsia="仿宋_GB2312"/>
          <w:b w:val="0"/>
          <w:bCs/>
          <w:spacing w:val="-4"/>
          <w:sz w:val="28"/>
          <w:szCs w:val="28"/>
          <w:highlight w:val="none"/>
        </w:rPr>
      </w:pPr>
      <w:r>
        <w:rPr>
          <w:rStyle w:val="16"/>
          <w:rFonts w:hint="eastAsia" w:ascii="仿宋_GB2312" w:hAnsi="楷体" w:eastAsia="仿宋_GB2312"/>
          <w:b w:val="0"/>
          <w:bCs/>
          <w:spacing w:val="-4"/>
          <w:sz w:val="28"/>
          <w:szCs w:val="28"/>
          <w:highlight w:val="none"/>
        </w:rPr>
        <w:t>（6）着力提升办学条件，优化校园环境。</w:t>
      </w:r>
    </w:p>
    <w:p>
      <w:pPr>
        <w:pStyle w:val="4"/>
        <w:spacing w:line="360" w:lineRule="auto"/>
        <w:ind w:firstLine="133" w:firstLineChars="49"/>
        <w:rPr>
          <w:rStyle w:val="16"/>
          <w:rFonts w:hint="eastAsia" w:ascii="仿宋_GB2312" w:hAnsi="楷体" w:eastAsia="仿宋_GB2312"/>
          <w:b w:val="0"/>
          <w:bCs/>
          <w:spacing w:val="-4"/>
          <w:sz w:val="28"/>
          <w:szCs w:val="28"/>
          <w:highlight w:val="none"/>
        </w:rPr>
      </w:pPr>
      <w:r>
        <w:rPr>
          <w:rStyle w:val="16"/>
          <w:rFonts w:hint="eastAsia" w:ascii="仿宋_GB2312" w:hAnsi="楷体" w:eastAsia="仿宋_GB2312"/>
          <w:b w:val="0"/>
          <w:bCs/>
          <w:spacing w:val="-4"/>
          <w:sz w:val="28"/>
          <w:szCs w:val="28"/>
          <w:highlight w:val="none"/>
        </w:rPr>
        <w:t>（7）保障</w:t>
      </w:r>
      <w:r>
        <w:rPr>
          <w:rStyle w:val="16"/>
          <w:rFonts w:hint="eastAsia" w:ascii="仿宋_GB2312" w:hAnsi="楷体" w:eastAsia="仿宋_GB2312"/>
          <w:b w:val="0"/>
          <w:bCs/>
          <w:spacing w:val="-4"/>
          <w:sz w:val="28"/>
          <w:szCs w:val="28"/>
          <w:highlight w:val="none"/>
          <w:lang w:eastAsia="zh-CN"/>
        </w:rPr>
        <w:t>学校</w:t>
      </w:r>
      <w:r>
        <w:rPr>
          <w:rStyle w:val="16"/>
          <w:rFonts w:hint="eastAsia" w:ascii="仿宋_GB2312" w:hAnsi="楷体" w:eastAsia="仿宋_GB2312"/>
          <w:b w:val="0"/>
          <w:bCs/>
          <w:spacing w:val="-4"/>
          <w:sz w:val="28"/>
          <w:szCs w:val="28"/>
          <w:highlight w:val="none"/>
        </w:rPr>
        <w:t>日常工作平稳有序安全运转。</w:t>
      </w:r>
    </w:p>
    <w:p>
      <w:pPr>
        <w:pStyle w:val="4"/>
        <w:spacing w:line="360" w:lineRule="auto"/>
        <w:ind w:firstLine="138" w:firstLineChars="49"/>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5124.08</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5124.08</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2021年中追加</w:t>
      </w:r>
      <w:r>
        <w:rPr>
          <w:rStyle w:val="16"/>
          <w:rFonts w:hint="eastAsia" w:ascii="仿宋_GB2312" w:hAnsi="楷体" w:eastAsia="仿宋_GB2312"/>
          <w:b w:val="0"/>
          <w:spacing w:val="-4"/>
          <w:sz w:val="28"/>
          <w:szCs w:val="28"/>
          <w:lang w:val="en-US" w:eastAsia="zh-CN"/>
        </w:rPr>
        <w:t>2173.97</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73.69</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4125.18</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998.89</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24.21</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5124.08</w:t>
      </w:r>
      <w:r>
        <w:rPr>
          <w:rStyle w:val="16"/>
          <w:rFonts w:hint="eastAsia" w:ascii="仿宋_GB2312" w:hAnsi="楷体" w:eastAsia="仿宋_GB2312"/>
          <w:b w:val="0"/>
          <w:spacing w:val="-4"/>
          <w:sz w:val="28"/>
          <w:szCs w:val="28"/>
        </w:rPr>
        <w:t>万元，执行率100%，其中：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4324.08</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84.39</w:t>
      </w:r>
      <w:r>
        <w:rPr>
          <w:rStyle w:val="16"/>
          <w:rFonts w:hint="eastAsia" w:ascii="仿宋_GB2312" w:hAnsi="楷体" w:eastAsia="仿宋_GB2312"/>
          <w:b w:val="0"/>
          <w:spacing w:val="-4"/>
          <w:sz w:val="28"/>
          <w:szCs w:val="28"/>
        </w:rPr>
        <w:t>％，主要用于特克斯县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3680.95</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395.51</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247.62</w:t>
      </w:r>
      <w:r>
        <w:rPr>
          <w:rStyle w:val="16"/>
          <w:rFonts w:hint="eastAsia" w:ascii="仿宋_GB2312" w:hAnsi="楷体" w:eastAsia="仿宋_GB2312"/>
          <w:b w:val="0"/>
          <w:spacing w:val="-4"/>
          <w:sz w:val="28"/>
          <w:szCs w:val="28"/>
        </w:rPr>
        <w:t>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（2）我单位项目支出</w:t>
      </w:r>
      <w:r>
        <w:rPr>
          <w:rStyle w:val="16"/>
          <w:rFonts w:hint="eastAsia" w:ascii="仿宋_GB2312" w:hAnsi="楷体" w:eastAsia="仿宋_GB2312"/>
          <w:b w:val="0"/>
          <w:spacing w:val="-4"/>
          <w:sz w:val="28"/>
          <w:szCs w:val="28"/>
          <w:lang w:val="en-US" w:eastAsia="zh-CN"/>
        </w:rPr>
        <w:t>800</w:t>
      </w:r>
      <w:r>
        <w:rPr>
          <w:rStyle w:val="16"/>
          <w:rFonts w:hint="eastAsia" w:ascii="仿宋_GB2312" w:hAnsi="楷体" w:eastAsia="仿宋_GB2312"/>
          <w:b w:val="0"/>
          <w:spacing w:val="-4"/>
          <w:sz w:val="28"/>
          <w:szCs w:val="28"/>
        </w:rPr>
        <w:t>万</w:t>
      </w:r>
      <w:r>
        <w:rPr>
          <w:rStyle w:val="16"/>
          <w:rFonts w:hint="eastAsia" w:ascii="仿宋_GB2312" w:hAnsi="楷体" w:eastAsia="仿宋_GB2312"/>
          <w:b w:val="0"/>
          <w:spacing w:val="-4"/>
          <w:sz w:val="28"/>
          <w:szCs w:val="28"/>
          <w:lang w:eastAsia="zh-CN"/>
        </w:rPr>
        <w:t>元，</w:t>
      </w:r>
      <w:r>
        <w:rPr>
          <w:rStyle w:val="16"/>
          <w:rFonts w:hint="eastAsia" w:ascii="仿宋_GB2312" w:hAnsi="楷体" w:eastAsia="仿宋_GB2312"/>
          <w:b w:val="0"/>
          <w:spacing w:val="-4"/>
          <w:sz w:val="28"/>
          <w:szCs w:val="28"/>
        </w:rPr>
        <w:t>占总支出的</w:t>
      </w:r>
      <w:r>
        <w:rPr>
          <w:rStyle w:val="16"/>
          <w:rFonts w:hint="eastAsia" w:ascii="仿宋_GB2312" w:hAnsi="楷体" w:eastAsia="仿宋_GB2312"/>
          <w:b w:val="0"/>
          <w:spacing w:val="-4"/>
          <w:sz w:val="28"/>
          <w:szCs w:val="28"/>
          <w:lang w:val="en-US" w:eastAsia="zh-CN"/>
        </w:rPr>
        <w:t>15.61</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主要用于特克斯县</w:t>
      </w:r>
      <w:r>
        <w:rPr>
          <w:rStyle w:val="16"/>
          <w:rFonts w:hint="eastAsia" w:ascii="仿宋_GB2312" w:hAnsi="楷体" w:eastAsia="仿宋_GB2312"/>
          <w:b w:val="0"/>
          <w:spacing w:val="-4"/>
          <w:sz w:val="28"/>
          <w:szCs w:val="28"/>
          <w:lang w:eastAsia="zh-CN"/>
        </w:rPr>
        <w:t>高级中学建设宿舍楼。</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w:t>
      </w:r>
      <w:r>
        <w:rPr>
          <w:rStyle w:val="16"/>
          <w:rFonts w:hint="eastAsia" w:ascii="仿宋_GB2312" w:hAnsi="楷体" w:eastAsia="仿宋_GB2312"/>
          <w:b w:val="0"/>
          <w:spacing w:val="-4"/>
          <w:sz w:val="28"/>
          <w:szCs w:val="28"/>
          <w:lang w:val="en-US" w:eastAsia="zh-CN"/>
        </w:rPr>
        <w:t>800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%。其中重点保障项目是特克斯县</w:t>
      </w:r>
      <w:r>
        <w:rPr>
          <w:rStyle w:val="16"/>
          <w:rFonts w:hint="eastAsia" w:ascii="仿宋_GB2312" w:hAnsi="楷体" w:eastAsia="仿宋_GB2312"/>
          <w:b w:val="0"/>
          <w:spacing w:val="-4"/>
          <w:sz w:val="28"/>
          <w:szCs w:val="28"/>
          <w:lang w:eastAsia="zh-CN"/>
        </w:rPr>
        <w:t>高级中学建设宿舍楼</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（3）本年度我单位无政府采购预算。</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本次项目支出绩效自评采用因素分析法方法，原因是：从数量上确定各因素对分析指标影响方向和影响程度一种方法，运用因素分析法应注意因素关联性、顺序性。</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hint="eastAsia" w:ascii="仿宋_GB2312" w:hAnsi="楷体" w:eastAsia="仿宋_GB2312"/>
          <w:b w:val="0"/>
          <w:spacing w:val="-4"/>
          <w:sz w:val="28"/>
          <w:szCs w:val="28"/>
        </w:rPr>
      </w:pPr>
      <w:bookmarkStart w:id="10" w:name="_Toc70450297"/>
      <w:r>
        <w:rPr>
          <w:rStyle w:val="16"/>
          <w:rFonts w:hint="eastAsia" w:ascii="仿宋_GB2312" w:hAnsi="楷体" w:eastAsia="仿宋_GB2312"/>
          <w:b w:val="0"/>
          <w:spacing w:val="-4"/>
          <w:sz w:val="28"/>
          <w:szCs w:val="28"/>
        </w:rPr>
        <w:t>涉及对象：本次评价对象是特克斯县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所有财政资金支出活动。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4324.08</w:t>
      </w:r>
      <w:r>
        <w:rPr>
          <w:rStyle w:val="16"/>
          <w:rFonts w:hint="eastAsia" w:ascii="仿宋_GB2312" w:hAnsi="楷体" w:eastAsia="仿宋_GB2312"/>
          <w:b w:val="0"/>
          <w:spacing w:val="-4"/>
          <w:sz w:val="28"/>
          <w:szCs w:val="28"/>
        </w:rPr>
        <w:t>万元，其中：工资福利支出</w:t>
      </w:r>
      <w:r>
        <w:rPr>
          <w:rStyle w:val="16"/>
          <w:rFonts w:hint="eastAsia" w:ascii="仿宋_GB2312" w:hAnsi="楷体" w:eastAsia="仿宋_GB2312"/>
          <w:b w:val="0"/>
          <w:spacing w:val="-4"/>
          <w:sz w:val="28"/>
          <w:szCs w:val="28"/>
          <w:lang w:val="en-US" w:eastAsia="zh-CN"/>
        </w:rPr>
        <w:t>3680.95</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395.51</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247.62</w:t>
      </w:r>
      <w:r>
        <w:rPr>
          <w:rStyle w:val="16"/>
          <w:rFonts w:hint="eastAsia" w:ascii="仿宋_GB2312" w:hAnsi="楷体" w:eastAsia="仿宋_GB2312"/>
          <w:b w:val="0"/>
          <w:spacing w:val="-4"/>
          <w:sz w:val="28"/>
          <w:szCs w:val="28"/>
        </w:rPr>
        <w:t>万元。</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800万元：</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高级中学建设宿舍楼。</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hint="eastAsia" w:ascii="仿宋_GB2312" w:hAnsi="楷体" w:eastAsia="仿宋_GB2312"/>
          <w:b w:val="0"/>
          <w:spacing w:val="-4"/>
          <w:sz w:val="28"/>
          <w:szCs w:val="28"/>
        </w:rPr>
      </w:pPr>
      <w:bookmarkStart w:id="13" w:name="_Toc70450300"/>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严格按照财政部门预算编制与预算调整的工作要求，在预算编制、分配依据充分的条件下，切实做好“先定目标再编预算”，确保预算分配结果合理。同时按照特克斯县</w:t>
      </w:r>
      <w:r>
        <w:rPr>
          <w:rStyle w:val="16"/>
          <w:rFonts w:hint="eastAsia" w:ascii="仿宋_GB2312" w:hAnsi="楷体" w:eastAsia="仿宋_GB2312"/>
          <w:b w:val="0"/>
          <w:spacing w:val="-4"/>
          <w:sz w:val="28"/>
          <w:szCs w:val="28"/>
          <w:lang w:val="en-US" w:eastAsia="zh-CN"/>
        </w:rPr>
        <w:t>财政局</w:t>
      </w:r>
      <w:r>
        <w:rPr>
          <w:rStyle w:val="16"/>
          <w:rFonts w:hint="eastAsia" w:ascii="仿宋_GB2312" w:hAnsi="楷体" w:eastAsia="仿宋_GB2312"/>
          <w:b w:val="0"/>
          <w:spacing w:val="-4"/>
          <w:sz w:val="28"/>
          <w:szCs w:val="28"/>
        </w:rPr>
        <w:t>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按照财政要求基本支出分月度申报资金使用计划，由财政部门按照进度每月按期拨付，人员支出按照工资计划发放工资；依照特克斯县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《财务管理制度》相关规定和特克斯县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《财务管理制度》规定流程，资金支出按照我内控体系中设定的流程申报审批进行；项目支出属于政府采购的，按照局特克斯县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4324.08</w:t>
      </w:r>
      <w:r>
        <w:rPr>
          <w:rStyle w:val="16"/>
          <w:rFonts w:hint="eastAsia" w:ascii="仿宋_GB2312" w:hAnsi="楷体" w:eastAsia="仿宋_GB2312"/>
          <w:b w:val="0"/>
          <w:spacing w:val="-4"/>
          <w:sz w:val="28"/>
          <w:szCs w:val="28"/>
        </w:rPr>
        <w:t>万元，实际到</w:t>
      </w:r>
      <w:r>
        <w:rPr>
          <w:rStyle w:val="16"/>
          <w:rFonts w:hint="eastAsia" w:ascii="仿宋_GB2312" w:hAnsi="楷体" w:eastAsia="仿宋_GB2312"/>
          <w:b w:val="0"/>
          <w:spacing w:val="-4"/>
          <w:sz w:val="28"/>
          <w:szCs w:val="28"/>
          <w:lang w:val="en-US" w:eastAsia="zh-CN"/>
        </w:rPr>
        <w:t>4324.08</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84.39</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3680.95</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395.51</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247.62</w:t>
      </w:r>
      <w:r>
        <w:rPr>
          <w:rStyle w:val="16"/>
          <w:rFonts w:hint="eastAsia" w:ascii="仿宋_GB2312" w:hAnsi="楷体" w:eastAsia="仿宋_GB2312"/>
          <w:b w:val="0"/>
          <w:spacing w:val="-4"/>
          <w:sz w:val="28"/>
          <w:szCs w:val="28"/>
        </w:rPr>
        <w:t>万元、主要用于人员工资支出，办公费、印刷费、水电费、办公设备购置等。资本性支出0万元。</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4137.16</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186.91</w:t>
      </w:r>
      <w:r>
        <w:rPr>
          <w:rStyle w:val="16"/>
          <w:rFonts w:hint="eastAsia" w:ascii="仿宋_GB2312" w:hAnsi="楷体" w:eastAsia="仿宋_GB2312"/>
          <w:b w:val="0"/>
          <w:spacing w:val="-4"/>
          <w:sz w:val="28"/>
          <w:szCs w:val="28"/>
        </w:rPr>
        <w:t xml:space="preserve"> 万元，上升 </w:t>
      </w:r>
      <w:r>
        <w:rPr>
          <w:rStyle w:val="16"/>
          <w:rFonts w:hint="eastAsia" w:ascii="仿宋_GB2312" w:hAnsi="楷体" w:eastAsia="仿宋_GB2312"/>
          <w:b w:val="0"/>
          <w:spacing w:val="-4"/>
          <w:sz w:val="28"/>
          <w:szCs w:val="28"/>
          <w:lang w:val="en-US" w:eastAsia="zh-CN"/>
        </w:rPr>
        <w:t>4.52</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lang w:eastAsia="zh-CN"/>
        </w:rPr>
        <w:t>人员调整，特岗入编，</w:t>
      </w:r>
      <w:r>
        <w:rPr>
          <w:rStyle w:val="16"/>
          <w:rFonts w:hint="eastAsia" w:ascii="仿宋_GB2312" w:hAnsi="楷体" w:eastAsia="仿宋_GB2312"/>
          <w:b w:val="0"/>
          <w:spacing w:val="-4"/>
          <w:sz w:val="28"/>
          <w:szCs w:val="28"/>
        </w:rPr>
        <w:t>人数增加，兑现了部分人员职称工资</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2021年3月绩效调标</w:t>
      </w:r>
      <w:r>
        <w:rPr>
          <w:rStyle w:val="16"/>
          <w:rFonts w:hint="eastAsia" w:ascii="仿宋_GB2312" w:hAnsi="楷体" w:eastAsia="仿宋_GB2312"/>
          <w:b w:val="0"/>
          <w:spacing w:val="-4"/>
          <w:sz w:val="28"/>
          <w:szCs w:val="28"/>
          <w:lang w:eastAsia="zh-CN"/>
        </w:rPr>
        <w:t>，发放</w:t>
      </w:r>
      <w:r>
        <w:rPr>
          <w:rStyle w:val="16"/>
          <w:rFonts w:hint="eastAsia" w:ascii="仿宋_GB2312" w:hAnsi="楷体" w:eastAsia="仿宋_GB2312"/>
          <w:b w:val="0"/>
          <w:spacing w:val="-4"/>
          <w:sz w:val="28"/>
          <w:szCs w:val="28"/>
          <w:lang w:val="en-US" w:eastAsia="zh-CN"/>
        </w:rPr>
        <w:t>2018年.2020年绩效奖金及2020年综合治理奖。</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rPr>
        <w:t>2021年预算安排专项资金</w:t>
      </w:r>
      <w:r>
        <w:rPr>
          <w:rStyle w:val="16"/>
          <w:rFonts w:hint="eastAsia" w:ascii="仿宋_GB2312" w:hAnsi="楷体" w:eastAsia="仿宋_GB2312"/>
          <w:b w:val="0"/>
          <w:spacing w:val="-4"/>
          <w:sz w:val="28"/>
          <w:szCs w:val="28"/>
          <w:highlight w:val="none"/>
          <w:lang w:val="en-US" w:eastAsia="zh-CN"/>
        </w:rPr>
        <w:t>800</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800</w:t>
      </w:r>
      <w:r>
        <w:rPr>
          <w:rStyle w:val="16"/>
          <w:rFonts w:hint="eastAsia" w:ascii="仿宋_GB2312" w:hAnsi="楷体" w:eastAsia="仿宋_GB2312"/>
          <w:b w:val="0"/>
          <w:spacing w:val="-4"/>
          <w:sz w:val="28"/>
          <w:szCs w:val="28"/>
          <w:highlight w:val="none"/>
        </w:rPr>
        <w:t>万元, 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％,其中:中央转移支付项目资金</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800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万元，自治区资金</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万元，本级安排</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800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15.61</w:t>
      </w:r>
      <w:r>
        <w:rPr>
          <w:rStyle w:val="16"/>
          <w:rFonts w:hint="eastAsia" w:ascii="仿宋_GB2312" w:hAnsi="楷体" w:eastAsia="仿宋_GB2312"/>
          <w:b w:val="0"/>
          <w:spacing w:val="-4"/>
          <w:sz w:val="28"/>
          <w:szCs w:val="28"/>
          <w:highlight w:val="none"/>
        </w:rPr>
        <w:t>%，其中2021年专项项目支出比上年</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万元增加</w:t>
      </w:r>
      <w:r>
        <w:rPr>
          <w:rStyle w:val="16"/>
          <w:rFonts w:hint="eastAsia" w:ascii="仿宋_GB2312" w:hAnsi="楷体" w:eastAsia="仿宋_GB2312"/>
          <w:b w:val="0"/>
          <w:spacing w:val="-4"/>
          <w:sz w:val="28"/>
          <w:szCs w:val="28"/>
          <w:highlight w:val="none"/>
          <w:lang w:val="en-US" w:eastAsia="zh-CN"/>
        </w:rPr>
        <w:t>800</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 xml:space="preserve"> %。支出上升的主要原因是：2021年我单</w:t>
      </w:r>
      <w:r>
        <w:rPr>
          <w:rStyle w:val="16"/>
          <w:rFonts w:hint="eastAsia" w:ascii="仿宋_GB2312" w:hAnsi="楷体" w:eastAsia="仿宋_GB2312"/>
          <w:b w:val="0"/>
          <w:spacing w:val="-4"/>
          <w:sz w:val="28"/>
          <w:szCs w:val="28"/>
          <w:highlight w:val="none"/>
          <w:lang w:eastAsia="zh-CN"/>
        </w:rPr>
        <w:t>项目支出高级中学宿舍楼建设</w:t>
      </w:r>
      <w:r>
        <w:rPr>
          <w:rStyle w:val="16"/>
          <w:rFonts w:hint="eastAsia" w:ascii="仿宋_GB2312" w:hAnsi="楷体" w:eastAsia="仿宋_GB2312"/>
          <w:b w:val="0"/>
          <w:spacing w:val="-4"/>
          <w:sz w:val="28"/>
          <w:szCs w:val="28"/>
          <w:highlight w:val="none"/>
          <w:lang w:val="en-US" w:eastAsia="zh-CN"/>
        </w:rPr>
        <w:t>800万元</w:t>
      </w:r>
      <w:r>
        <w:rPr>
          <w:rStyle w:val="16"/>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highlight w:val="none"/>
        </w:rPr>
      </w:pPr>
      <w:bookmarkStart w:id="19" w:name="_Toc70450306"/>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（1）制定了特克斯县</w:t>
      </w:r>
      <w:r>
        <w:rPr>
          <w:rStyle w:val="16"/>
          <w:rFonts w:hint="eastAsia" w:ascii="仿宋_GB2312" w:hAnsi="楷体" w:eastAsia="仿宋_GB2312"/>
          <w:b w:val="0"/>
          <w:spacing w:val="-4"/>
          <w:sz w:val="28"/>
          <w:szCs w:val="28"/>
          <w:highlight w:val="none"/>
          <w:lang w:eastAsia="zh-CN"/>
        </w:rPr>
        <w:t>高级中</w:t>
      </w:r>
      <w:r>
        <w:rPr>
          <w:rStyle w:val="16"/>
          <w:rFonts w:hint="eastAsia" w:ascii="仿宋_GB2312" w:hAnsi="楷体" w:eastAsia="仿宋_GB2312"/>
          <w:b w:val="0"/>
          <w:spacing w:val="-4"/>
          <w:sz w:val="28"/>
          <w:szCs w:val="28"/>
          <w:highlight w:val="none"/>
        </w:rPr>
        <w:t>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）建立特克斯县</w:t>
      </w:r>
      <w:r>
        <w:rPr>
          <w:rStyle w:val="16"/>
          <w:rFonts w:hint="eastAsia" w:ascii="仿宋_GB2312" w:hAnsi="楷体" w:eastAsia="仿宋_GB2312"/>
          <w:b w:val="0"/>
          <w:spacing w:val="-4"/>
          <w:sz w:val="28"/>
          <w:szCs w:val="28"/>
          <w:highlight w:val="none"/>
          <w:lang w:eastAsia="zh-CN"/>
        </w:rPr>
        <w:t>高级中</w:t>
      </w:r>
      <w:r>
        <w:rPr>
          <w:rStyle w:val="16"/>
          <w:rFonts w:hint="eastAsia" w:ascii="仿宋_GB2312" w:hAnsi="楷体" w:eastAsia="仿宋_GB2312"/>
          <w:b w:val="0"/>
          <w:spacing w:val="-4"/>
          <w:sz w:val="28"/>
          <w:szCs w:val="28"/>
          <w:highlight w:val="none"/>
        </w:rPr>
        <w:t>学专项资金专帐，做到有据可依，有据可查。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（3）制订了特克斯县</w:t>
      </w:r>
      <w:r>
        <w:rPr>
          <w:rStyle w:val="16"/>
          <w:rFonts w:hint="eastAsia" w:ascii="仿宋_GB2312" w:hAnsi="楷体" w:eastAsia="仿宋_GB2312"/>
          <w:b w:val="0"/>
          <w:spacing w:val="-4"/>
          <w:sz w:val="28"/>
          <w:szCs w:val="28"/>
          <w:highlight w:val="none"/>
          <w:lang w:eastAsia="zh-CN"/>
        </w:rPr>
        <w:t>高级中</w:t>
      </w:r>
      <w:r>
        <w:rPr>
          <w:rStyle w:val="16"/>
          <w:rFonts w:hint="eastAsia" w:ascii="仿宋_GB2312" w:hAnsi="楷体" w:eastAsia="仿宋_GB2312"/>
          <w:b w:val="0"/>
          <w:spacing w:val="-4"/>
          <w:sz w:val="28"/>
          <w:szCs w:val="28"/>
          <w:highlight w:val="none"/>
        </w:rPr>
        <w:t>学项目实施方案，确保项目顺利进行。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（4）认真组织特克斯县</w:t>
      </w:r>
      <w:r>
        <w:rPr>
          <w:rStyle w:val="16"/>
          <w:rFonts w:hint="eastAsia" w:ascii="仿宋_GB2312" w:hAnsi="楷体" w:eastAsia="仿宋_GB2312"/>
          <w:b w:val="0"/>
          <w:spacing w:val="-4"/>
          <w:sz w:val="28"/>
          <w:szCs w:val="28"/>
          <w:highlight w:val="none"/>
          <w:lang w:eastAsia="zh-CN"/>
        </w:rPr>
        <w:t>高级中</w:t>
      </w:r>
      <w:r>
        <w:rPr>
          <w:rStyle w:val="16"/>
          <w:rFonts w:hint="eastAsia" w:ascii="仿宋_GB2312" w:hAnsi="楷体" w:eastAsia="仿宋_GB2312"/>
          <w:b w:val="0"/>
          <w:spacing w:val="-4"/>
          <w:sz w:val="28"/>
          <w:szCs w:val="28"/>
          <w:highlight w:val="none"/>
        </w:rPr>
        <w:t>学项目验收，确保项目顺利进行。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专项资金涉及政府采购项目的，按照局《</w:t>
      </w:r>
      <w:r>
        <w:rPr>
          <w:rStyle w:val="16"/>
          <w:rFonts w:hint="eastAsia" w:ascii="仿宋_GB2312" w:hAnsi="楷体" w:eastAsia="仿宋_GB2312"/>
          <w:b w:val="0"/>
          <w:spacing w:val="-4"/>
          <w:sz w:val="28"/>
          <w:szCs w:val="28"/>
          <w:highlight w:val="none"/>
          <w:lang w:eastAsia="zh-CN"/>
        </w:rPr>
        <w:t>特克斯县高级中学</w:t>
      </w:r>
      <w:r>
        <w:rPr>
          <w:rStyle w:val="16"/>
          <w:rFonts w:hint="eastAsia" w:ascii="仿宋_GB2312" w:hAnsi="楷体" w:eastAsia="仿宋_GB2312"/>
          <w:b w:val="0"/>
          <w:spacing w:val="-4"/>
          <w:sz w:val="28"/>
          <w:szCs w:val="28"/>
          <w:highlight w:val="none"/>
        </w:rPr>
        <w:t>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三、部门单位专项组织实施情况</w:t>
      </w:r>
      <w:bookmarkEnd w:id="19"/>
    </w:p>
    <w:p>
      <w:pPr>
        <w:pStyle w:val="5"/>
        <w:numPr>
          <w:ilvl w:val="0"/>
          <w:numId w:val="1"/>
        </w:numPr>
        <w:spacing w:line="360" w:lineRule="auto"/>
        <w:rPr>
          <w:rStyle w:val="16"/>
          <w:rFonts w:ascii="仿宋" w:hAnsi="仿宋" w:eastAsia="仿宋"/>
          <w:b/>
          <w:bCs/>
        </w:rPr>
      </w:pPr>
      <w:bookmarkStart w:id="20" w:name="_Toc70450308"/>
      <w:bookmarkStart w:id="21" w:name="_Toc70450310"/>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highlight w:val="none"/>
        </w:rPr>
        <w:t>1</w:t>
      </w:r>
      <w:r>
        <w:rPr>
          <w:rStyle w:val="16"/>
          <w:rFonts w:hint="eastAsia" w:ascii="仿宋_GB2312" w:hAnsi="楷体" w:eastAsia="仿宋_GB2312"/>
          <w:b w:val="0"/>
          <w:bCs w:val="0"/>
          <w:color w:val="auto"/>
          <w:spacing w:val="-4"/>
          <w:sz w:val="28"/>
          <w:szCs w:val="28"/>
          <w:highlight w:val="none"/>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截止12月</w:t>
      </w:r>
      <w:r>
        <w:rPr>
          <w:rStyle w:val="16"/>
          <w:rFonts w:hint="eastAsia" w:ascii="仿宋_GB2312" w:hAnsi="楷体" w:eastAsia="仿宋_GB2312"/>
          <w:b w:val="0"/>
          <w:bCs w:val="0"/>
          <w:color w:val="auto"/>
          <w:spacing w:val="-4"/>
          <w:sz w:val="28"/>
          <w:szCs w:val="28"/>
          <w:highlight w:val="none"/>
          <w:lang w:val="en-US" w:eastAsia="zh-CN"/>
        </w:rPr>
        <w:t>31</w:t>
      </w:r>
      <w:r>
        <w:rPr>
          <w:rStyle w:val="16"/>
          <w:rFonts w:hint="eastAsia" w:ascii="仿宋_GB2312" w:hAnsi="楷体" w:eastAsia="仿宋_GB2312"/>
          <w:b w:val="0"/>
          <w:bCs w:val="0"/>
          <w:color w:val="auto"/>
          <w:spacing w:val="-4"/>
          <w:sz w:val="28"/>
          <w:szCs w:val="28"/>
          <w:highlight w:val="none"/>
        </w:rPr>
        <w:t>日，该专项均按照时间计划保质、保量完成。</w:t>
      </w:r>
    </w:p>
    <w:p>
      <w:pPr>
        <w:pStyle w:val="5"/>
        <w:numPr>
          <w:ilvl w:val="0"/>
          <w:numId w:val="1"/>
        </w:numPr>
        <w:spacing w:line="360" w:lineRule="auto"/>
        <w:rPr>
          <w:rStyle w:val="16"/>
          <w:rFonts w:ascii="仿宋" w:hAnsi="仿宋" w:eastAsia="仿宋"/>
          <w:b/>
          <w:bCs/>
          <w:color w:val="auto"/>
          <w:highlight w:val="none"/>
        </w:rPr>
      </w:pPr>
      <w:bookmarkStart w:id="22" w:name="_Toc70450309"/>
      <w:r>
        <w:rPr>
          <w:rStyle w:val="16"/>
          <w:rFonts w:hint="eastAsia" w:ascii="仿宋" w:hAnsi="仿宋" w:eastAsia="仿宋"/>
          <w:b/>
          <w:bCs/>
          <w:color w:val="auto"/>
          <w:highlight w:val="none"/>
        </w:rPr>
        <w:t>专项管理情况分析</w:t>
      </w:r>
      <w:bookmarkEnd w:id="22"/>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1、资金到位及使用情况</w:t>
      </w:r>
    </w:p>
    <w:p>
      <w:pPr>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w:t>
      </w:r>
      <w:r>
        <w:rPr>
          <w:rStyle w:val="16"/>
          <w:rFonts w:ascii="仿宋_GB2312" w:hAnsi="楷体" w:eastAsia="仿宋_GB2312"/>
          <w:b w:val="0"/>
          <w:color w:val="auto"/>
          <w:spacing w:val="-4"/>
          <w:sz w:val="28"/>
          <w:szCs w:val="28"/>
          <w:highlight w:val="none"/>
        </w:rPr>
        <w:t>021</w:t>
      </w:r>
      <w:r>
        <w:rPr>
          <w:rStyle w:val="16"/>
          <w:rFonts w:hint="eastAsia" w:ascii="仿宋_GB2312" w:hAnsi="楷体" w:eastAsia="仿宋_GB2312"/>
          <w:b w:val="0"/>
          <w:color w:val="auto"/>
          <w:spacing w:val="-4"/>
          <w:sz w:val="28"/>
          <w:szCs w:val="28"/>
          <w:highlight w:val="none"/>
        </w:rPr>
        <w:t>年涉及专项资金</w:t>
      </w:r>
      <w:r>
        <w:rPr>
          <w:rStyle w:val="16"/>
          <w:rFonts w:hint="eastAsia" w:ascii="仿宋_GB2312" w:hAnsi="楷体" w:eastAsia="仿宋_GB2312"/>
          <w:b w:val="0"/>
          <w:color w:val="auto"/>
          <w:spacing w:val="-4"/>
          <w:sz w:val="28"/>
          <w:szCs w:val="28"/>
          <w:highlight w:val="none"/>
          <w:lang w:val="en-US" w:eastAsia="zh-CN"/>
        </w:rPr>
        <w:t>800</w:t>
      </w:r>
      <w:r>
        <w:rPr>
          <w:rStyle w:val="16"/>
          <w:rFonts w:hint="eastAsia" w:ascii="仿宋_GB2312" w:hAnsi="楷体" w:eastAsia="仿宋_GB2312"/>
          <w:b w:val="0"/>
          <w:color w:val="auto"/>
          <w:spacing w:val="-4"/>
          <w:sz w:val="28"/>
          <w:szCs w:val="28"/>
          <w:highlight w:val="none"/>
        </w:rPr>
        <w:t>万元，实际到位</w:t>
      </w:r>
      <w:r>
        <w:rPr>
          <w:rStyle w:val="16"/>
          <w:rFonts w:hint="eastAsia" w:ascii="仿宋_GB2312" w:hAnsi="楷体" w:eastAsia="仿宋_GB2312"/>
          <w:b w:val="0"/>
          <w:color w:val="auto"/>
          <w:spacing w:val="-4"/>
          <w:sz w:val="28"/>
          <w:szCs w:val="28"/>
          <w:highlight w:val="none"/>
          <w:lang w:val="en-US" w:eastAsia="zh-CN"/>
        </w:rPr>
        <w:t>800</w:t>
      </w:r>
      <w:r>
        <w:rPr>
          <w:rStyle w:val="16"/>
          <w:rFonts w:hint="eastAsia" w:ascii="仿宋_GB2312" w:hAnsi="楷体" w:eastAsia="仿宋_GB2312"/>
          <w:b w:val="0"/>
          <w:color w:val="auto"/>
          <w:spacing w:val="-4"/>
          <w:sz w:val="28"/>
          <w:szCs w:val="28"/>
          <w:highlight w:val="none"/>
        </w:rPr>
        <w:t>万元，资金到位率</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%。截止到</w:t>
      </w:r>
      <w:r>
        <w:rPr>
          <w:rStyle w:val="16"/>
          <w:rFonts w:ascii="仿宋_GB2312" w:hAnsi="楷体" w:eastAsia="仿宋_GB2312"/>
          <w:b w:val="0"/>
          <w:color w:val="auto"/>
          <w:spacing w:val="-4"/>
          <w:sz w:val="28"/>
          <w:szCs w:val="28"/>
          <w:highlight w:val="none"/>
        </w:rPr>
        <w:t>2021</w:t>
      </w:r>
      <w:r>
        <w:rPr>
          <w:rStyle w:val="16"/>
          <w:rFonts w:hint="eastAsia" w:ascii="仿宋_GB2312" w:hAnsi="楷体" w:eastAsia="仿宋_GB2312"/>
          <w:b w:val="0"/>
          <w:color w:val="auto"/>
          <w:spacing w:val="-4"/>
          <w:sz w:val="28"/>
          <w:szCs w:val="28"/>
          <w:highlight w:val="none"/>
        </w:rPr>
        <w:t>年1</w:t>
      </w:r>
      <w:r>
        <w:rPr>
          <w:rStyle w:val="16"/>
          <w:rFonts w:ascii="仿宋_GB2312" w:hAnsi="楷体" w:eastAsia="仿宋_GB2312"/>
          <w:b w:val="0"/>
          <w:color w:val="auto"/>
          <w:spacing w:val="-4"/>
          <w:sz w:val="28"/>
          <w:szCs w:val="28"/>
          <w:highlight w:val="none"/>
        </w:rPr>
        <w:t>2</w:t>
      </w:r>
      <w:r>
        <w:rPr>
          <w:rStyle w:val="16"/>
          <w:rFonts w:hint="eastAsia" w:ascii="仿宋_GB2312" w:hAnsi="楷体" w:eastAsia="仿宋_GB2312"/>
          <w:b w:val="0"/>
          <w:color w:val="auto"/>
          <w:spacing w:val="-4"/>
          <w:sz w:val="28"/>
          <w:szCs w:val="28"/>
          <w:highlight w:val="none"/>
        </w:rPr>
        <w:t xml:space="preserve">月 </w:t>
      </w:r>
      <w:r>
        <w:rPr>
          <w:rStyle w:val="16"/>
          <w:rFonts w:ascii="仿宋_GB2312" w:hAnsi="楷体" w:eastAsia="仿宋_GB2312"/>
          <w:b w:val="0"/>
          <w:color w:val="auto"/>
          <w:spacing w:val="-4"/>
          <w:sz w:val="28"/>
          <w:szCs w:val="28"/>
          <w:highlight w:val="none"/>
        </w:rPr>
        <w:t xml:space="preserve"> </w:t>
      </w:r>
      <w:r>
        <w:rPr>
          <w:rStyle w:val="16"/>
          <w:rFonts w:hint="eastAsia" w:ascii="仿宋_GB2312" w:hAnsi="楷体" w:eastAsia="仿宋_GB2312"/>
          <w:b w:val="0"/>
          <w:color w:val="auto"/>
          <w:spacing w:val="-4"/>
          <w:sz w:val="28"/>
          <w:szCs w:val="28"/>
          <w:highlight w:val="none"/>
        </w:rPr>
        <w:t>日执行</w:t>
      </w:r>
      <w:r>
        <w:rPr>
          <w:rStyle w:val="16"/>
          <w:rFonts w:hint="eastAsia" w:ascii="仿宋_GB2312" w:hAnsi="楷体" w:eastAsia="仿宋_GB2312"/>
          <w:b w:val="0"/>
          <w:color w:val="auto"/>
          <w:spacing w:val="-4"/>
          <w:sz w:val="28"/>
          <w:szCs w:val="28"/>
          <w:highlight w:val="none"/>
          <w:lang w:val="en-US" w:eastAsia="zh-CN"/>
        </w:rPr>
        <w:t>800</w:t>
      </w:r>
      <w:r>
        <w:rPr>
          <w:rStyle w:val="16"/>
          <w:rFonts w:hint="eastAsia" w:ascii="仿宋_GB2312" w:hAnsi="楷体" w:eastAsia="仿宋_GB2312"/>
          <w:b w:val="0"/>
          <w:color w:val="auto"/>
          <w:spacing w:val="-4"/>
          <w:sz w:val="28"/>
          <w:szCs w:val="28"/>
          <w:highlight w:val="none"/>
        </w:rPr>
        <w:t>万元，执行率</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%。其中：20</w:t>
      </w:r>
      <w:r>
        <w:rPr>
          <w:rStyle w:val="16"/>
          <w:rFonts w:ascii="仿宋_GB2312" w:hAnsi="楷体" w:eastAsia="仿宋_GB2312"/>
          <w:b w:val="0"/>
          <w:color w:val="auto"/>
          <w:spacing w:val="-4"/>
          <w:sz w:val="28"/>
          <w:szCs w:val="28"/>
          <w:highlight w:val="none"/>
        </w:rPr>
        <w:t>21</w:t>
      </w:r>
      <w:r>
        <w:rPr>
          <w:rStyle w:val="16"/>
          <w:rFonts w:hint="eastAsia" w:ascii="仿宋_GB2312" w:hAnsi="楷体" w:eastAsia="仿宋_GB2312"/>
          <w:b w:val="0"/>
          <w:color w:val="auto"/>
          <w:spacing w:val="-4"/>
          <w:sz w:val="28"/>
          <w:szCs w:val="28"/>
          <w:highlight w:val="none"/>
        </w:rPr>
        <w:t>年结转专项资金</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万元，实际执行</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万元，执行率为</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%；202</w:t>
      </w:r>
      <w:r>
        <w:rPr>
          <w:rStyle w:val="16"/>
          <w:rFonts w:ascii="仿宋_GB2312" w:hAnsi="楷体" w:eastAsia="仿宋_GB2312"/>
          <w:b w:val="0"/>
          <w:color w:val="auto"/>
          <w:spacing w:val="-4"/>
          <w:sz w:val="28"/>
          <w:szCs w:val="28"/>
          <w:highlight w:val="none"/>
        </w:rPr>
        <w:t>1</w:t>
      </w:r>
      <w:r>
        <w:rPr>
          <w:rStyle w:val="16"/>
          <w:rFonts w:hint="eastAsia" w:ascii="仿宋_GB2312" w:hAnsi="楷体" w:eastAsia="仿宋_GB2312"/>
          <w:b w:val="0"/>
          <w:color w:val="auto"/>
          <w:spacing w:val="-4"/>
          <w:sz w:val="28"/>
          <w:szCs w:val="28"/>
          <w:highlight w:val="none"/>
        </w:rPr>
        <w:t>年新增专项资金</w:t>
      </w:r>
      <w:r>
        <w:rPr>
          <w:rStyle w:val="16"/>
          <w:rFonts w:hint="eastAsia" w:ascii="仿宋_GB2312" w:hAnsi="楷体" w:eastAsia="仿宋_GB2312"/>
          <w:b w:val="0"/>
          <w:color w:val="auto"/>
          <w:spacing w:val="-4"/>
          <w:sz w:val="28"/>
          <w:szCs w:val="28"/>
          <w:highlight w:val="none"/>
          <w:lang w:val="en-US" w:eastAsia="zh-CN"/>
        </w:rPr>
        <w:t>800</w:t>
      </w:r>
      <w:r>
        <w:rPr>
          <w:rStyle w:val="16"/>
          <w:rFonts w:hint="eastAsia" w:ascii="仿宋_GB2312" w:hAnsi="楷体" w:eastAsia="仿宋_GB2312"/>
          <w:b w:val="0"/>
          <w:color w:val="auto"/>
          <w:spacing w:val="-4"/>
          <w:sz w:val="28"/>
          <w:szCs w:val="28"/>
          <w:highlight w:val="none"/>
        </w:rPr>
        <w:t>万元，实际执行</w:t>
      </w:r>
      <w:r>
        <w:rPr>
          <w:rStyle w:val="16"/>
          <w:rFonts w:hint="eastAsia" w:ascii="仿宋_GB2312" w:hAnsi="楷体" w:eastAsia="仿宋_GB2312"/>
          <w:b w:val="0"/>
          <w:color w:val="auto"/>
          <w:spacing w:val="-4"/>
          <w:sz w:val="28"/>
          <w:szCs w:val="28"/>
          <w:highlight w:val="none"/>
          <w:lang w:val="en-US" w:eastAsia="zh-CN"/>
        </w:rPr>
        <w:t>800</w:t>
      </w:r>
      <w:r>
        <w:rPr>
          <w:rStyle w:val="16"/>
          <w:rFonts w:hint="eastAsia" w:ascii="仿宋_GB2312" w:hAnsi="楷体" w:eastAsia="仿宋_GB2312"/>
          <w:b w:val="0"/>
          <w:color w:val="auto"/>
          <w:spacing w:val="-4"/>
          <w:sz w:val="28"/>
          <w:szCs w:val="28"/>
          <w:highlight w:val="none"/>
        </w:rPr>
        <w:t>万元，执行率为</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2、资金管理情况</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例我单位严格执行《专项资金管理办法》文件精神要求，加强对专项资金的绩效管理，确保专款专用，提高专项资金使用效益。遵守相关法律法规，严肃财经纪律，自觉接受财政、审计、监察监督检查。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6"/>
          <w:rFonts w:ascii="仿宋" w:hAnsi="仿宋" w:eastAsia="仿宋"/>
          <w:b/>
          <w:bCs/>
          <w:color w:val="auto"/>
          <w:highlight w:val="none"/>
        </w:rPr>
      </w:pPr>
      <w:r>
        <w:rPr>
          <w:rStyle w:val="16"/>
          <w:rFonts w:hint="eastAsia" w:ascii="仿宋" w:hAnsi="仿宋" w:eastAsia="仿宋"/>
          <w:b/>
          <w:bCs/>
          <w:color w:val="auto"/>
          <w:highlight w:val="none"/>
        </w:rPr>
        <w:t>项目实施情况分析</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w:t>
      </w:r>
      <w:r>
        <w:rPr>
          <w:rStyle w:val="16"/>
          <w:rFonts w:ascii="仿宋_GB2312" w:hAnsi="楷体" w:eastAsia="仿宋_GB2312"/>
          <w:b w:val="0"/>
          <w:color w:val="auto"/>
          <w:spacing w:val="-4"/>
          <w:sz w:val="28"/>
          <w:szCs w:val="28"/>
          <w:highlight w:val="none"/>
        </w:rPr>
        <w:t>、组织情况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eastAsia="zh-CN"/>
        </w:rPr>
        <w:t>特克斯县高级中学</w:t>
      </w:r>
      <w:r>
        <w:rPr>
          <w:rStyle w:val="16"/>
          <w:rFonts w:hint="eastAsia" w:asciiTheme="minorEastAsia" w:hAnsiTheme="minorEastAsia"/>
          <w:bCs w:val="0"/>
          <w:color w:val="auto"/>
          <w:spacing w:val="-4"/>
          <w:sz w:val="28"/>
          <w:szCs w:val="28"/>
          <w:highlight w:val="none"/>
        </w:rPr>
        <w:t>，</w:t>
      </w:r>
      <w:r>
        <w:rPr>
          <w:rStyle w:val="16"/>
          <w:rFonts w:hint="eastAsia" w:ascii="仿宋_GB2312" w:hAnsi="楷体" w:eastAsia="仿宋_GB2312"/>
          <w:b w:val="0"/>
          <w:color w:val="auto"/>
          <w:spacing w:val="-4"/>
          <w:sz w:val="28"/>
          <w:szCs w:val="28"/>
          <w:highlight w:val="none"/>
        </w:rPr>
        <w:t>根据202</w:t>
      </w:r>
      <w:r>
        <w:rPr>
          <w:rStyle w:val="16"/>
          <w:rFonts w:ascii="仿宋_GB2312" w:hAnsi="楷体" w:eastAsia="仿宋_GB2312"/>
          <w:b w:val="0"/>
          <w:color w:val="auto"/>
          <w:spacing w:val="-4"/>
          <w:sz w:val="28"/>
          <w:szCs w:val="28"/>
          <w:highlight w:val="none"/>
        </w:rPr>
        <w:t>1</w:t>
      </w:r>
      <w:r>
        <w:rPr>
          <w:rStyle w:val="16"/>
          <w:rFonts w:hint="eastAsia" w:ascii="仿宋_GB2312" w:hAnsi="楷体" w:eastAsia="仿宋_GB2312"/>
          <w:b w:val="0"/>
          <w:color w:val="auto"/>
          <w:spacing w:val="-4"/>
          <w:sz w:val="28"/>
          <w:szCs w:val="28"/>
          <w:highlight w:val="none"/>
        </w:rPr>
        <w:t>年</w:t>
      </w: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个项目的绩效目标及工作内容，将其细化分工至本单位</w:t>
      </w:r>
      <w:r>
        <w:rPr>
          <w:rStyle w:val="16"/>
          <w:rFonts w:hint="eastAsia" w:ascii="仿宋_GB2312" w:hAnsi="楷体" w:eastAsia="仿宋_GB2312"/>
          <w:b w:val="0"/>
          <w:color w:val="auto"/>
          <w:spacing w:val="-4"/>
          <w:sz w:val="28"/>
          <w:szCs w:val="28"/>
          <w:highlight w:val="none"/>
          <w:lang w:val="en-US" w:eastAsia="zh-CN"/>
        </w:rPr>
        <w:t>8</w:t>
      </w:r>
      <w:r>
        <w:rPr>
          <w:rStyle w:val="16"/>
          <w:rFonts w:hint="eastAsia" w:ascii="仿宋_GB2312" w:hAnsi="楷体" w:eastAsia="仿宋_GB2312"/>
          <w:b w:val="0"/>
          <w:color w:val="auto"/>
          <w:spacing w:val="-4"/>
          <w:sz w:val="28"/>
          <w:szCs w:val="28"/>
          <w:highlight w:val="none"/>
        </w:rPr>
        <w:t>个科室，加强组织领导，明确分工，各司其职，抓好工作目标任务的落实完成，同时年中要求各科室人按照年初预算对本科室绩效工作进行自查自评，并报上半年工作情况总结，</w:t>
      </w:r>
      <w:r>
        <w:rPr>
          <w:rStyle w:val="16"/>
          <w:rFonts w:ascii="仿宋_GB2312" w:hAnsi="楷体" w:eastAsia="仿宋_GB2312"/>
          <w:b w:val="0"/>
          <w:color w:val="auto"/>
          <w:spacing w:val="-4"/>
          <w:sz w:val="28"/>
          <w:szCs w:val="28"/>
          <w:highlight w:val="none"/>
        </w:rPr>
        <w:t>5</w:t>
      </w:r>
      <w:r>
        <w:rPr>
          <w:rStyle w:val="16"/>
          <w:rFonts w:hint="eastAsia" w:ascii="仿宋_GB2312" w:hAnsi="楷体" w:eastAsia="仿宋_GB2312"/>
          <w:b w:val="0"/>
          <w:color w:val="auto"/>
          <w:spacing w:val="-4"/>
          <w:sz w:val="28"/>
          <w:szCs w:val="28"/>
          <w:highlight w:val="none"/>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w:t>
      </w:r>
      <w:r>
        <w:rPr>
          <w:rStyle w:val="16"/>
          <w:rFonts w:ascii="仿宋_GB2312" w:hAnsi="楷体" w:eastAsia="仿宋_GB2312"/>
          <w:b w:val="0"/>
          <w:color w:val="auto"/>
          <w:spacing w:val="-4"/>
          <w:sz w:val="28"/>
          <w:szCs w:val="28"/>
          <w:highlight w:val="none"/>
        </w:rPr>
        <w:t>、管理情况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eastAsia="zh-CN"/>
        </w:rPr>
        <w:t>特克斯县高级中学</w:t>
      </w:r>
      <w:r>
        <w:rPr>
          <w:rStyle w:val="16"/>
          <w:rFonts w:hint="eastAsia" w:ascii="仿宋_GB2312" w:hAnsi="楷体" w:eastAsia="仿宋_GB2312"/>
          <w:b w:val="0"/>
          <w:color w:val="auto"/>
          <w:spacing w:val="-4"/>
          <w:sz w:val="28"/>
          <w:szCs w:val="28"/>
          <w:highlight w:val="none"/>
        </w:rPr>
        <w:t>，实施的</w:t>
      </w: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个项目，由相关业务处室专人进行全过程跟踪管理，科室负责人统筹推进项目实施，单位领导不定期对项目进度进行调度，并对项目质量进行控制。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3</w:t>
      </w:r>
      <w:r>
        <w:rPr>
          <w:rStyle w:val="16"/>
          <w:rFonts w:ascii="仿宋_GB2312" w:hAnsi="楷体" w:eastAsia="仿宋_GB2312"/>
          <w:b w:val="0"/>
          <w:color w:val="auto"/>
          <w:spacing w:val="-4"/>
          <w:sz w:val="28"/>
          <w:szCs w:val="28"/>
          <w:highlight w:val="none"/>
        </w:rPr>
        <w:t>、监管情况</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eastAsia="zh-CN"/>
        </w:rPr>
        <w:t>特克斯县高级中学</w:t>
      </w:r>
      <w:r>
        <w:rPr>
          <w:rStyle w:val="16"/>
          <w:rFonts w:hint="eastAsia" w:ascii="仿宋_GB2312" w:hAnsi="楷体" w:eastAsia="仿宋_GB2312"/>
          <w:b w:val="0"/>
          <w:color w:val="auto"/>
          <w:spacing w:val="-4"/>
          <w:sz w:val="28"/>
          <w:szCs w:val="28"/>
          <w:highlight w:val="none"/>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6"/>
          <w:rFonts w:ascii="仿宋" w:hAnsi="仿宋" w:eastAsia="仿宋"/>
          <w:b/>
          <w:bCs/>
          <w:color w:val="auto"/>
          <w:highlight w:val="none"/>
        </w:rPr>
      </w:pPr>
      <w:r>
        <w:rPr>
          <w:rStyle w:val="16"/>
          <w:rFonts w:hint="eastAsia" w:ascii="仿宋" w:hAnsi="仿宋" w:eastAsia="仿宋"/>
          <w:b/>
          <w:bCs/>
          <w:color w:val="auto"/>
          <w:highlight w:val="none"/>
        </w:rPr>
        <w:t>绩效情况分析</w:t>
      </w:r>
    </w:p>
    <w:p>
      <w:pPr>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1</w:t>
      </w:r>
      <w:r>
        <w:rPr>
          <w:rStyle w:val="16"/>
          <w:rFonts w:ascii="仿宋_GB2312" w:hAnsi="楷体" w:eastAsia="仿宋_GB2312"/>
          <w:b w:val="0"/>
          <w:bCs w:val="0"/>
          <w:color w:val="auto"/>
          <w:spacing w:val="-4"/>
          <w:sz w:val="28"/>
          <w:szCs w:val="28"/>
          <w:highlight w:val="none"/>
        </w:rPr>
        <w:t>、成本控制情况</w:t>
      </w:r>
    </w:p>
    <w:p>
      <w:pPr>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eastAsia="zh-CN"/>
        </w:rPr>
        <w:t>特克斯县高级中学</w:t>
      </w:r>
      <w:r>
        <w:rPr>
          <w:rStyle w:val="16"/>
          <w:rFonts w:hint="eastAsia" w:ascii="仿宋_GB2312" w:hAnsi="楷体" w:eastAsia="仿宋_GB2312"/>
          <w:b w:val="0"/>
          <w:color w:val="auto"/>
          <w:spacing w:val="-4"/>
          <w:sz w:val="28"/>
          <w:szCs w:val="28"/>
          <w:highlight w:val="none"/>
        </w:rPr>
        <w:t>，所涉及专项项目均已于专项资金下达后按照资金文件及绩效管理要求设置《项目绩效目标表》。</w:t>
      </w: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个专项项目预算总额为</w:t>
      </w:r>
      <w:r>
        <w:rPr>
          <w:rStyle w:val="16"/>
          <w:rFonts w:hint="eastAsia" w:ascii="仿宋_GB2312" w:hAnsi="楷体" w:eastAsia="仿宋_GB2312"/>
          <w:b w:val="0"/>
          <w:color w:val="auto"/>
          <w:spacing w:val="-4"/>
          <w:sz w:val="28"/>
          <w:szCs w:val="28"/>
          <w:highlight w:val="none"/>
          <w:lang w:val="en-US" w:eastAsia="zh-CN"/>
        </w:rPr>
        <w:t>800</w:t>
      </w:r>
      <w:r>
        <w:rPr>
          <w:rStyle w:val="16"/>
          <w:rFonts w:hint="eastAsia" w:ascii="仿宋_GB2312" w:hAnsi="楷体" w:eastAsia="仿宋_GB2312"/>
          <w:b w:val="0"/>
          <w:color w:val="auto"/>
          <w:spacing w:val="-4"/>
          <w:sz w:val="28"/>
          <w:szCs w:val="28"/>
          <w:highlight w:val="none"/>
        </w:rPr>
        <w:t>万元，在项目实施过程中，业务人员加强项目管理，合理控制项目成本，截止项目结束，</w:t>
      </w: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个项目总成本为</w:t>
      </w:r>
      <w:r>
        <w:rPr>
          <w:rStyle w:val="16"/>
          <w:rFonts w:hint="eastAsia" w:ascii="仿宋_GB2312" w:hAnsi="楷体" w:eastAsia="仿宋_GB2312"/>
          <w:b w:val="0"/>
          <w:color w:val="auto"/>
          <w:spacing w:val="-4"/>
          <w:sz w:val="28"/>
          <w:szCs w:val="28"/>
          <w:highlight w:val="none"/>
          <w:lang w:val="en-US" w:eastAsia="zh-CN"/>
        </w:rPr>
        <w:t>800</w:t>
      </w:r>
      <w:r>
        <w:rPr>
          <w:rStyle w:val="16"/>
          <w:rFonts w:hint="eastAsia" w:ascii="仿宋_GB2312" w:hAnsi="楷体" w:eastAsia="仿宋_GB2312"/>
          <w:b w:val="0"/>
          <w:color w:val="auto"/>
          <w:spacing w:val="-4"/>
          <w:sz w:val="28"/>
          <w:szCs w:val="28"/>
          <w:highlight w:val="none"/>
        </w:rPr>
        <w:t>万元，不存在超支情况。</w:t>
      </w:r>
    </w:p>
    <w:p>
      <w:pPr>
        <w:spacing w:line="360" w:lineRule="auto"/>
        <w:ind w:firstLine="544" w:firstLineChars="200"/>
        <w:rPr>
          <w:rStyle w:val="16"/>
          <w:rFonts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2</w:t>
      </w:r>
      <w:r>
        <w:rPr>
          <w:rStyle w:val="16"/>
          <w:rFonts w:ascii="仿宋_GB2312" w:hAnsi="楷体" w:eastAsia="仿宋_GB2312"/>
          <w:b w:val="0"/>
          <w:bCs w:val="0"/>
          <w:color w:val="auto"/>
          <w:spacing w:val="-4"/>
          <w:sz w:val="28"/>
          <w:szCs w:val="28"/>
          <w:highlight w:val="none"/>
        </w:rPr>
        <w:t>、成本节约情况</w:t>
      </w:r>
    </w:p>
    <w:p>
      <w:pPr>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lang w:eastAsia="zh-CN"/>
        </w:rPr>
        <w:t>特克斯县高级中学</w:t>
      </w:r>
      <w:r>
        <w:rPr>
          <w:rStyle w:val="16"/>
          <w:rFonts w:hint="eastAsia" w:ascii="仿宋_GB2312" w:hAnsi="楷体" w:eastAsia="仿宋_GB2312"/>
          <w:b w:val="0"/>
          <w:color w:val="auto"/>
          <w:spacing w:val="-4"/>
          <w:sz w:val="28"/>
          <w:szCs w:val="28"/>
          <w:highlight w:val="none"/>
        </w:rPr>
        <w:t>，所涉及专项项目使用资金比专项项目总预算减少</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w:t>
      </w:r>
      <w:bookmarkStart w:id="23" w:name="_Hlk96097132"/>
      <w:r>
        <w:rPr>
          <w:rStyle w:val="16"/>
          <w:rFonts w:hint="eastAsia" w:ascii="仿宋_GB2312" w:hAnsi="楷体" w:eastAsia="仿宋_GB2312"/>
          <w:b w:val="0"/>
          <w:color w:val="auto"/>
          <w:spacing w:val="-4"/>
          <w:sz w:val="28"/>
          <w:szCs w:val="28"/>
          <w:highlight w:val="none"/>
        </w:rPr>
        <w:t>项目节约率</w:t>
      </w:r>
      <w:bookmarkEnd w:id="23"/>
      <w:r>
        <w:rPr>
          <w:rStyle w:val="16"/>
          <w:rFonts w:hint="eastAsia" w:ascii="仿宋_GB2312" w:hAnsi="楷体" w:eastAsia="仿宋_GB2312"/>
          <w:b w:val="0"/>
          <w:color w:val="auto"/>
          <w:spacing w:val="-4"/>
          <w:sz w:val="28"/>
          <w:szCs w:val="28"/>
          <w:highlight w:val="none"/>
        </w:rPr>
        <w:t>为</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w:t>
      </w:r>
    </w:p>
    <w:p>
      <w:pPr>
        <w:pStyle w:val="5"/>
        <w:numPr>
          <w:ilvl w:val="0"/>
          <w:numId w:val="1"/>
        </w:numPr>
        <w:spacing w:line="360" w:lineRule="auto"/>
        <w:rPr>
          <w:rStyle w:val="16"/>
          <w:rFonts w:hint="eastAsia" w:ascii="仿宋" w:hAnsi="仿宋" w:eastAsia="仿宋"/>
          <w:b/>
          <w:bCs/>
          <w:color w:val="auto"/>
          <w:highlight w:val="none"/>
        </w:rPr>
      </w:pPr>
      <w:r>
        <w:rPr>
          <w:rStyle w:val="16"/>
          <w:rFonts w:hint="eastAsia" w:ascii="仿宋" w:hAnsi="仿宋" w:eastAsia="仿宋"/>
          <w:b/>
          <w:bCs/>
          <w:color w:val="auto"/>
          <w:highlight w:val="none"/>
        </w:rPr>
        <w:t>项目效率性分析</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1、实施进度</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w:t>
      </w:r>
      <w:r>
        <w:rPr>
          <w:rStyle w:val="16"/>
          <w:rFonts w:hint="eastAsia" w:ascii="仿宋_GB2312" w:hAnsi="楷体" w:eastAsia="仿宋_GB2312"/>
          <w:b w:val="0"/>
          <w:color w:val="auto"/>
          <w:spacing w:val="-4"/>
          <w:sz w:val="28"/>
          <w:szCs w:val="28"/>
          <w:highlight w:val="none"/>
          <w:lang w:eastAsia="zh-CN"/>
        </w:rPr>
        <w:t>特克斯县高级中学</w:t>
      </w:r>
      <w:r>
        <w:rPr>
          <w:rStyle w:val="16"/>
          <w:rFonts w:hint="eastAsia" w:ascii="仿宋_GB2312" w:hAnsi="楷体" w:eastAsia="仿宋_GB2312"/>
          <w:b w:val="0"/>
          <w:color w:val="auto"/>
          <w:spacing w:val="-4"/>
          <w:sz w:val="28"/>
          <w:szCs w:val="28"/>
          <w:highlight w:val="none"/>
        </w:rPr>
        <w:t>共涉及专项项目</w:t>
      </w: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个，截止到202</w:t>
      </w: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年底，通过专项项目实施过程中的有效监督，我单位按预期完成了</w:t>
      </w: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个专项的各项专项任务，项目总体完成率为</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bookmarkStart w:id="37" w:name="_GoBack"/>
      <w:r>
        <w:rPr>
          <w:rStyle w:val="16"/>
          <w:rFonts w:hint="eastAsia" w:ascii="仿宋_GB2312" w:hAnsi="楷体" w:eastAsia="仿宋_GB2312"/>
          <w:b w:val="0"/>
          <w:spacing w:val="-4"/>
          <w:sz w:val="28"/>
          <w:szCs w:val="28"/>
          <w:highlight w:val="none"/>
        </w:rPr>
        <w:t>2、完成质量</w:t>
      </w:r>
    </w:p>
    <w:p>
      <w:pPr>
        <w:spacing w:line="360" w:lineRule="auto"/>
        <w:ind w:firstLine="544" w:firstLineChars="200"/>
        <w:rPr>
          <w:rStyle w:val="16"/>
          <w:rFonts w:hint="eastAsia" w:ascii="仿宋_GB2312" w:hAnsi="楷体" w:eastAsia="仿宋_GB2312"/>
          <w:b w:val="0"/>
          <w:spacing w:val="-4"/>
          <w:sz w:val="28"/>
          <w:szCs w:val="28"/>
          <w:highlight w:val="none"/>
        </w:rPr>
      </w:pPr>
      <w:bookmarkStart w:id="24" w:name="_Hlk96100380"/>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spacing w:val="-4"/>
          <w:sz w:val="28"/>
          <w:szCs w:val="28"/>
          <w:highlight w:val="none"/>
        </w:rPr>
        <w:t>个专项项目完成质量情况如下：</w:t>
      </w:r>
      <w:bookmarkEnd w:id="24"/>
    </w:p>
    <w:p>
      <w:pPr>
        <w:spacing w:line="360" w:lineRule="auto"/>
        <w:ind w:firstLine="544" w:firstLineChars="200"/>
        <w:rPr>
          <w:rStyle w:val="16"/>
          <w:rFonts w:ascii="仿宋_GB2312" w:hAnsi="楷体" w:eastAsia="仿宋_GB2312"/>
          <w:b w:val="0"/>
          <w:color w:val="FF0000"/>
          <w:spacing w:val="-4"/>
          <w:sz w:val="28"/>
          <w:szCs w:val="28"/>
          <w:highlight w:val="none"/>
        </w:rPr>
      </w:pPr>
      <w:r>
        <w:rPr>
          <w:rStyle w:val="16"/>
          <w:rFonts w:hint="eastAsia" w:ascii="仿宋_GB2312" w:hAnsi="楷体" w:eastAsia="仿宋_GB2312"/>
          <w:b w:val="0"/>
          <w:spacing w:val="-4"/>
          <w:sz w:val="28"/>
          <w:szCs w:val="28"/>
          <w:highlight w:val="none"/>
        </w:rPr>
        <w:t>①</w:t>
      </w:r>
      <w:r>
        <w:rPr>
          <w:rStyle w:val="16"/>
          <w:rFonts w:hint="eastAsia" w:ascii="仿宋_GB2312" w:hAnsi="楷体" w:eastAsia="仿宋_GB2312"/>
          <w:b w:val="0"/>
          <w:spacing w:val="-4"/>
          <w:sz w:val="28"/>
          <w:szCs w:val="28"/>
          <w:highlight w:val="none"/>
          <w:lang w:eastAsia="zh-CN"/>
        </w:rPr>
        <w:t>特克斯县高级中学宿舍楼建造，</w:t>
      </w:r>
      <w:r>
        <w:rPr>
          <w:rStyle w:val="16"/>
          <w:rFonts w:hint="eastAsia" w:ascii="仿宋_GB2312" w:hAnsi="楷体" w:eastAsia="仿宋_GB2312"/>
          <w:b w:val="0"/>
          <w:spacing w:val="-4"/>
          <w:sz w:val="28"/>
          <w:szCs w:val="28"/>
          <w:highlight w:val="none"/>
          <w:lang w:val="en-US" w:eastAsia="zh-CN"/>
        </w:rPr>
        <w:t>2021年6月开工、总两栋楼包括宿舍楼和教学楼，2021年12月完成。</w:t>
      </w:r>
    </w:p>
    <w:bookmarkEnd w:id="37"/>
    <w:p>
      <w:pPr>
        <w:pStyle w:val="5"/>
        <w:numPr>
          <w:ilvl w:val="0"/>
          <w:numId w:val="1"/>
        </w:numPr>
        <w:spacing w:line="360" w:lineRule="auto"/>
        <w:rPr>
          <w:rStyle w:val="16"/>
          <w:rFonts w:ascii="仿宋" w:hAnsi="仿宋" w:eastAsia="仿宋"/>
          <w:b/>
          <w:bCs/>
          <w:highlight w:val="none"/>
        </w:rPr>
      </w:pPr>
      <w:r>
        <w:rPr>
          <w:rStyle w:val="16"/>
          <w:rFonts w:hint="eastAsia" w:ascii="仿宋" w:hAnsi="仿宋" w:eastAsia="仿宋"/>
          <w:b/>
          <w:bCs/>
          <w:highlight w:val="none"/>
        </w:rPr>
        <w:t>项目效益性分析</w:t>
      </w:r>
    </w:p>
    <w:p>
      <w:pPr>
        <w:ind w:firstLine="544" w:firstLineChars="200"/>
        <w:rPr>
          <w:rStyle w:val="16"/>
          <w:rFonts w:ascii="仿宋_GB2312" w:hAnsi="楷体" w:eastAsia="仿宋_GB2312"/>
          <w:b w:val="0"/>
          <w:bCs w:val="0"/>
          <w:spacing w:val="-4"/>
          <w:sz w:val="28"/>
          <w:szCs w:val="28"/>
          <w:highlight w:val="none"/>
        </w:rPr>
      </w:pPr>
      <w:r>
        <w:rPr>
          <w:rStyle w:val="16"/>
          <w:rFonts w:hint="eastAsia" w:ascii="仿宋_GB2312" w:hAnsi="楷体" w:eastAsia="仿宋_GB2312"/>
          <w:b w:val="0"/>
          <w:bCs w:val="0"/>
          <w:spacing w:val="-4"/>
          <w:sz w:val="28"/>
          <w:szCs w:val="28"/>
          <w:highlight w:val="none"/>
          <w:lang w:val="en-US" w:eastAsia="zh-CN"/>
        </w:rPr>
        <w:t>1</w:t>
      </w:r>
      <w:r>
        <w:rPr>
          <w:rStyle w:val="16"/>
          <w:rFonts w:hint="eastAsia" w:ascii="仿宋_GB2312" w:hAnsi="楷体" w:eastAsia="仿宋_GB2312"/>
          <w:b w:val="0"/>
          <w:bCs w:val="0"/>
          <w:spacing w:val="-4"/>
          <w:sz w:val="28"/>
          <w:szCs w:val="28"/>
          <w:highlight w:val="none"/>
        </w:rPr>
        <w:t>个专项项目预期目标完成程度、实施对经济和社会的影响如下：</w:t>
      </w:r>
    </w:p>
    <w:p>
      <w:pPr>
        <w:spacing w:line="360" w:lineRule="auto"/>
        <w:ind w:firstLine="544" w:firstLineChars="200"/>
        <w:rPr>
          <w:rStyle w:val="16"/>
          <w:rFonts w:hint="eastAsia" w:ascii="仿宋_GB2312" w:hAnsi="楷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1</w:t>
      </w:r>
      <w:r>
        <w:rPr>
          <w:rStyle w:val="16"/>
          <w:rFonts w:hint="eastAsia" w:ascii="仿宋_GB2312" w:hAnsi="楷体" w:eastAsia="仿宋_GB2312"/>
          <w:b w:val="0"/>
          <w:spacing w:val="-4"/>
          <w:sz w:val="28"/>
          <w:szCs w:val="28"/>
          <w:highlight w:val="none"/>
          <w:lang w:eastAsia="zh-CN"/>
        </w:rPr>
        <w:t>特克斯县高级中学宿舍楼建设进一步优化教育结构，促进教育公平，进一步改善寄宿生营养状况，提高寄宿生健康水平，减轻家庭经济困难学生的经济负担。</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1"/>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资产总额</w:t>
      </w:r>
      <w:r>
        <w:rPr>
          <w:rStyle w:val="16"/>
          <w:rFonts w:hint="default" w:ascii="仿宋_GB2312" w:hAnsi="楷体" w:eastAsia="仿宋_GB2312"/>
          <w:b w:val="0"/>
          <w:spacing w:val="-4"/>
          <w:sz w:val="28"/>
          <w:szCs w:val="28"/>
          <w:lang w:eastAsia="zh-CN"/>
        </w:rPr>
        <w:t>1924.28</w:t>
      </w:r>
      <w:r>
        <w:rPr>
          <w:rStyle w:val="16"/>
          <w:rFonts w:hint="eastAsia" w:ascii="仿宋_GB2312" w:hAnsi="楷体" w:eastAsia="仿宋_GB2312"/>
          <w:b w:val="0"/>
          <w:spacing w:val="-4"/>
          <w:sz w:val="28"/>
          <w:szCs w:val="28"/>
        </w:rPr>
        <w:t>万元，其中流动资产   0万元，固定资产净值</w:t>
      </w:r>
      <w:r>
        <w:rPr>
          <w:rStyle w:val="16"/>
          <w:rFonts w:hint="default" w:ascii="仿宋_GB2312" w:hAnsi="楷体" w:eastAsia="仿宋_GB2312"/>
          <w:b w:val="0"/>
          <w:spacing w:val="-4"/>
          <w:sz w:val="28"/>
          <w:szCs w:val="28"/>
          <w:lang w:eastAsia="zh-CN"/>
        </w:rPr>
        <w:t>922.32</w:t>
      </w:r>
      <w:r>
        <w:rPr>
          <w:rStyle w:val="16"/>
          <w:rFonts w:hint="eastAsia" w:ascii="仿宋_GB2312" w:hAnsi="楷体" w:eastAsia="仿宋_GB2312"/>
          <w:b w:val="0"/>
          <w:spacing w:val="-4"/>
          <w:sz w:val="28"/>
          <w:szCs w:val="28"/>
        </w:rPr>
        <w:t>万元（其中：土地、房屋及构筑物</w:t>
      </w:r>
      <w:r>
        <w:rPr>
          <w:rStyle w:val="16"/>
          <w:rFonts w:hint="eastAsia" w:ascii="仿宋_GB2312" w:hAnsi="楷体" w:eastAsia="仿宋_GB2312"/>
          <w:b w:val="0"/>
          <w:spacing w:val="-4"/>
          <w:sz w:val="28"/>
          <w:szCs w:val="28"/>
          <w:lang w:val="en-US" w:eastAsia="zh-CN"/>
        </w:rPr>
        <w:t>655.06</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71.02</w:t>
      </w:r>
      <w:r>
        <w:rPr>
          <w:rStyle w:val="16"/>
          <w:rFonts w:hint="eastAsia" w:ascii="仿宋_GB2312" w:hAnsi="楷体" w:eastAsia="仿宋_GB2312"/>
          <w:b w:val="0"/>
          <w:spacing w:val="-4"/>
          <w:sz w:val="28"/>
          <w:szCs w:val="28"/>
        </w:rPr>
        <w:t>%；通用设备</w:t>
      </w:r>
      <w:r>
        <w:rPr>
          <w:rStyle w:val="16"/>
          <w:rFonts w:hint="eastAsia" w:ascii="仿宋_GB2312" w:hAnsi="楷体" w:eastAsia="仿宋_GB2312"/>
          <w:b w:val="0"/>
          <w:spacing w:val="-4"/>
          <w:sz w:val="28"/>
          <w:szCs w:val="28"/>
          <w:lang w:val="en-US" w:eastAsia="zh-CN"/>
        </w:rPr>
        <w:t>32.83</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3.56</w:t>
      </w:r>
      <w:r>
        <w:rPr>
          <w:rStyle w:val="16"/>
          <w:rFonts w:hint="eastAsia" w:ascii="仿宋_GB2312" w:hAnsi="楷体" w:eastAsia="仿宋_GB2312"/>
          <w:b w:val="0"/>
          <w:spacing w:val="-4"/>
          <w:sz w:val="28"/>
          <w:szCs w:val="28"/>
        </w:rPr>
        <w:t>%；专用设备</w:t>
      </w:r>
      <w:r>
        <w:rPr>
          <w:rStyle w:val="16"/>
          <w:rFonts w:hint="eastAsia" w:ascii="仿宋_GB2312" w:hAnsi="楷体" w:eastAsia="仿宋_GB2312"/>
          <w:b w:val="0"/>
          <w:spacing w:val="-4"/>
          <w:sz w:val="28"/>
          <w:szCs w:val="28"/>
          <w:lang w:val="en-US" w:eastAsia="zh-CN"/>
        </w:rPr>
        <w:t>68.17</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7.39</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图书</w:t>
      </w:r>
      <w:r>
        <w:rPr>
          <w:rStyle w:val="16"/>
          <w:rFonts w:hint="eastAsia" w:ascii="仿宋_GB2312" w:hAnsi="楷体" w:eastAsia="仿宋_GB2312"/>
          <w:b w:val="0"/>
          <w:spacing w:val="-4"/>
          <w:sz w:val="28"/>
          <w:szCs w:val="28"/>
          <w:lang w:val="en-US" w:eastAsia="zh-CN"/>
        </w:rPr>
        <w:t>91.75万元</w:t>
      </w:r>
      <w:r>
        <w:rPr>
          <w:rStyle w:val="16"/>
          <w:rFonts w:hint="eastAsia" w:ascii="仿宋_GB2312" w:hAnsi="楷体" w:eastAsia="仿宋_GB2312"/>
          <w:b w:val="0"/>
          <w:spacing w:val="-4"/>
          <w:sz w:val="28"/>
          <w:szCs w:val="28"/>
        </w:rPr>
        <w:t>，占固定资产净值的</w:t>
      </w:r>
      <w:r>
        <w:rPr>
          <w:rStyle w:val="16"/>
          <w:rFonts w:hint="eastAsia" w:ascii="仿宋_GB2312" w:hAnsi="楷体" w:eastAsia="仿宋_GB2312"/>
          <w:b w:val="0"/>
          <w:spacing w:val="-4"/>
          <w:sz w:val="28"/>
          <w:szCs w:val="28"/>
          <w:lang w:val="en-US" w:eastAsia="zh-CN"/>
        </w:rPr>
        <w:t>9.95</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家具74.51万元，</w:t>
      </w:r>
      <w:r>
        <w:rPr>
          <w:rStyle w:val="16"/>
          <w:rFonts w:hint="eastAsia" w:ascii="仿宋_GB2312" w:hAnsi="楷体" w:eastAsia="仿宋_GB2312"/>
          <w:b w:val="0"/>
          <w:spacing w:val="-4"/>
          <w:sz w:val="28"/>
          <w:szCs w:val="28"/>
        </w:rPr>
        <w:t>占固定资产净值的</w:t>
      </w:r>
      <w:r>
        <w:rPr>
          <w:rStyle w:val="16"/>
          <w:rFonts w:hint="eastAsia" w:ascii="仿宋_GB2312" w:hAnsi="楷体" w:eastAsia="仿宋_GB2312"/>
          <w:b w:val="0"/>
          <w:spacing w:val="-4"/>
          <w:sz w:val="28"/>
          <w:szCs w:val="28"/>
          <w:lang w:val="en-US" w:eastAsia="zh-CN"/>
        </w:rPr>
        <w:t>8.08</w:t>
      </w:r>
      <w:r>
        <w:rPr>
          <w:rStyle w:val="16"/>
          <w:rFonts w:hint="eastAsia" w:ascii="仿宋_GB2312" w:hAnsi="楷体" w:eastAsia="仿宋_GB2312"/>
          <w:b w:val="0"/>
          <w:spacing w:val="-4"/>
          <w:sz w:val="28"/>
          <w:szCs w:val="28"/>
        </w:rPr>
        <w:t>%；其他）。</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本年度流动资产</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万元，比上年增加</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eastAsia="zh-CN"/>
        </w:rPr>
        <w:t>本年度没有流动资产</w:t>
      </w:r>
      <w:r>
        <w:rPr>
          <w:rStyle w:val="16"/>
          <w:rFonts w:hint="eastAsia" w:ascii="仿宋_GB2312" w:hAnsi="宋体" w:eastAsia="仿宋_GB2312"/>
          <w:b w:val="0"/>
          <w:bCs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本年度固定资产</w:t>
      </w:r>
      <w:r>
        <w:rPr>
          <w:rStyle w:val="16"/>
          <w:rFonts w:hint="eastAsia" w:ascii="仿宋_GB2312" w:hAnsi="宋体" w:eastAsia="仿宋_GB2312"/>
          <w:b w:val="0"/>
          <w:bCs w:val="0"/>
          <w:spacing w:val="-4"/>
          <w:sz w:val="28"/>
          <w:szCs w:val="28"/>
          <w:highlight w:val="none"/>
          <w:lang w:val="en-US" w:eastAsia="zh-CN"/>
        </w:rPr>
        <w:t>1924.28</w:t>
      </w:r>
      <w:r>
        <w:rPr>
          <w:rStyle w:val="16"/>
          <w:rFonts w:hint="eastAsia" w:ascii="仿宋_GB2312" w:hAnsi="宋体" w:eastAsia="仿宋_GB2312"/>
          <w:b w:val="0"/>
          <w:bCs w:val="0"/>
          <w:spacing w:val="-4"/>
          <w:sz w:val="28"/>
          <w:szCs w:val="28"/>
          <w:highlight w:val="none"/>
        </w:rPr>
        <w:t>万元，比上年增加</w:t>
      </w:r>
      <w:r>
        <w:rPr>
          <w:rStyle w:val="16"/>
          <w:rFonts w:hint="eastAsia" w:ascii="仿宋_GB2312" w:hAnsi="宋体" w:eastAsia="仿宋_GB2312"/>
          <w:b w:val="0"/>
          <w:bCs w:val="0"/>
          <w:spacing w:val="-4"/>
          <w:sz w:val="28"/>
          <w:szCs w:val="28"/>
          <w:highlight w:val="none"/>
          <w:lang w:val="en-US" w:eastAsia="zh-CN"/>
        </w:rPr>
        <w:t>13.02</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val="en-US" w:eastAsia="zh-CN"/>
        </w:rPr>
        <w:t>2021年度本校学生增加购置办学设备</w:t>
      </w:r>
      <w:r>
        <w:rPr>
          <w:rStyle w:val="16"/>
          <w:rFonts w:hint="eastAsia" w:ascii="仿宋_GB2312" w:hAnsi="宋体" w:eastAsia="仿宋_GB2312"/>
          <w:b w:val="0"/>
          <w:bCs w:val="0"/>
          <w:spacing w:val="-4"/>
          <w:sz w:val="28"/>
          <w:szCs w:val="28"/>
          <w:highlight w:val="none"/>
        </w:rPr>
        <w:t xml:space="preserve"> 。</w:t>
      </w:r>
    </w:p>
    <w:p>
      <w:pPr>
        <w:snapToGrid w:val="0"/>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highlight w:val="none"/>
          <w:lang w:val="en-US" w:eastAsia="zh-CN"/>
        </w:rPr>
        <w:t>1924.28</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年度我单位年初预算安排</w:t>
      </w:r>
      <w:r>
        <w:rPr>
          <w:rStyle w:val="16"/>
          <w:rFonts w:hint="eastAsia" w:ascii="仿宋_GB2312" w:hAnsi="楷体" w:eastAsia="仿宋_GB2312"/>
          <w:b w:val="0"/>
          <w:spacing w:val="-4"/>
          <w:sz w:val="28"/>
          <w:szCs w:val="28"/>
          <w:lang w:val="en-US" w:eastAsia="zh-CN"/>
        </w:rPr>
        <w:t>2950.11</w:t>
      </w:r>
      <w:r>
        <w:rPr>
          <w:rStyle w:val="16"/>
          <w:rFonts w:hint="eastAsia" w:ascii="仿宋_GB2312" w:hAnsi="楷体" w:eastAsia="仿宋_GB2312"/>
          <w:b w:val="0"/>
          <w:spacing w:val="-4"/>
          <w:sz w:val="28"/>
          <w:szCs w:val="28"/>
        </w:rPr>
        <w:t>万元，年中调整</w:t>
      </w:r>
      <w:r>
        <w:rPr>
          <w:rStyle w:val="16"/>
          <w:rFonts w:hint="eastAsia" w:ascii="仿宋_GB2312" w:hAnsi="楷体" w:eastAsia="仿宋_GB2312"/>
          <w:b w:val="0"/>
          <w:spacing w:val="-4"/>
          <w:sz w:val="28"/>
          <w:szCs w:val="28"/>
          <w:lang w:val="en-US" w:eastAsia="zh-CN"/>
        </w:rPr>
        <w:t>2173.97</w:t>
      </w:r>
      <w:r>
        <w:rPr>
          <w:rStyle w:val="16"/>
          <w:rFonts w:hint="eastAsia" w:ascii="仿宋_GB2312" w:hAnsi="楷体" w:eastAsia="仿宋_GB2312"/>
          <w:b w:val="0"/>
          <w:spacing w:val="-4"/>
          <w:sz w:val="28"/>
          <w:szCs w:val="28"/>
        </w:rPr>
        <w:t>万元，截止12月底支出</w:t>
      </w:r>
      <w:r>
        <w:rPr>
          <w:rStyle w:val="16"/>
          <w:rFonts w:hint="eastAsia" w:ascii="仿宋_GB2312" w:hAnsi="楷体" w:eastAsia="仿宋_GB2312"/>
          <w:b w:val="0"/>
          <w:spacing w:val="-4"/>
          <w:sz w:val="28"/>
          <w:szCs w:val="28"/>
          <w:lang w:val="en-US" w:eastAsia="zh-CN"/>
        </w:rPr>
        <w:t>5124.08</w:t>
      </w:r>
      <w:r>
        <w:rPr>
          <w:rStyle w:val="16"/>
          <w:rFonts w:hint="eastAsia" w:ascii="仿宋_GB2312" w:hAnsi="楷体" w:eastAsia="仿宋_GB2312"/>
          <w:b w:val="0"/>
          <w:spacing w:val="-4"/>
          <w:sz w:val="28"/>
          <w:szCs w:val="28"/>
        </w:rPr>
        <w:t>万元，执行率100%。</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2021年，在特克斯县人民政府的大力支持和教育局党委的正确领导下，特克斯县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迎难而上、务实重干，积极推动各项教育工作取得了新的进展，为促进经济持续健康发展与社会和谐稳定提供了有力的教育支撑和保障。</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bookmarkStart w:id="30" w:name="_Toc70450316"/>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2"/>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4、教育教学全面达标，群众满意度高。</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30"/>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高级中学</w:t>
      </w:r>
      <w:r>
        <w:rPr>
          <w:rStyle w:val="16"/>
          <w:rFonts w:hint="eastAsia" w:ascii="仿宋_GB2312" w:hAnsi="楷体" w:eastAsia="仿宋_GB2312"/>
          <w:b w:val="0"/>
          <w:spacing w:val="-4"/>
          <w:sz w:val="28"/>
          <w:szCs w:val="28"/>
        </w:rPr>
        <w:t>整体绩效目标共设置一级指标3个，二级指标  6个，三级指标1</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，详细说明如下</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1、数量指标：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指标1：保障在职人员人数，指标值：=251人，实际完成值：251人，指标完成率100%；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指标2：退休人员数，指标值：=96人，实际完成值：96人，指标完成率100%；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指标3：保障采暖补贴人员人数，指标值：=347人，实际完成值：347人，指标完成率100%。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2、质量指标：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指标1：工资及公用经费保障率，指标值：=100%，实际完成值：=100%，指标完成率100%；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3、时效指标：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指标1：资金发放及时性，=100%，实际完成值：=100%，指标完成率100%；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4、成本指标：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指标1：保障人员人均支出标准，指标值：≤117534元/人/年，实际完成值：117534元/人/年，指标完成率100%；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指标2：退休人员计生奖励，指标值：≤1832.42元/人/年，实际完成值：1832.42元/人/年，指标完成率100%；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指标3：采暖补贴，指标值：≤1300元/人/年，实际完成值：1300元/人/年，指标完成率100%；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指标4：遗属补助，指标值：≤5760元/人/年，实际完成值：5760元/人/年，指标完成率100%；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5、社会效益指标：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指标1：保证教学任务及时完成，指标值：有效保证 ，实际完成值：有效保证，指标完成率100%；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指标2：保证教师队伍稳定，指标值：有效保证，实际完成值：有效保证，指标完成率100%；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6、满意度指标：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指标1：教师满意度，指标值：≥95%，实际完成值：95%，指标完成率100%；</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指标2：退休教师满意度，指标值：≥95%，实际完成值：95%，指标完成率100%。</w:t>
      </w:r>
    </w:p>
    <w:p>
      <w:pPr>
        <w:pStyle w:val="3"/>
        <w:spacing w:line="360" w:lineRule="auto"/>
        <w:rPr>
          <w:rFonts w:ascii="仿宋" w:hAnsi="仿宋" w:eastAsia="仿宋"/>
          <w:sz w:val="36"/>
          <w:szCs w:val="36"/>
          <w:lang w:bidi="ar"/>
        </w:rPr>
      </w:pPr>
      <w:bookmarkStart w:id="31" w:name="_Toc70450317"/>
      <w:r>
        <w:rPr>
          <w:rFonts w:hint="eastAsia" w:ascii="仿宋" w:hAnsi="仿宋" w:eastAsia="仿宋"/>
          <w:sz w:val="36"/>
          <w:szCs w:val="36"/>
          <w:lang w:bidi="ar"/>
        </w:rPr>
        <w:t>六、存在的主要问题</w:t>
      </w:r>
      <w:bookmarkEnd w:id="31"/>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1、预算绩效管理观念淡薄，缺乏主动性。</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2、预算绩效管理的组织架构不够完善，缺乏统筹性。</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3、绩效型预算编制脱离实际，缺乏前瞻性。</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hint="eastAsia" w:ascii="仿宋_GB2312" w:eastAsia="仿宋_GB2312" w:hAnsiTheme="majorEastAsia"/>
          <w:sz w:val="32"/>
          <w:szCs w:val="32"/>
        </w:rPr>
      </w:pPr>
      <w:r>
        <w:rPr>
          <w:rStyle w:val="16"/>
          <w:rFonts w:hint="eastAsia" w:ascii="仿宋_GB2312" w:hAnsi="楷体" w:eastAsia="仿宋_GB2312"/>
          <w:b w:val="0"/>
          <w:spacing w:val="-4"/>
          <w:sz w:val="28"/>
          <w:szCs w:val="28"/>
          <w:lang w:val="en-US" w:eastAsia="zh-CN"/>
        </w:rPr>
        <w:t>5、</w:t>
      </w:r>
      <w:r>
        <w:rPr>
          <w:rStyle w:val="16"/>
          <w:rFonts w:hint="eastAsia" w:ascii="仿宋_GB2312" w:hAnsi="楷体" w:eastAsia="仿宋_GB2312"/>
          <w:b w:val="0"/>
          <w:spacing w:val="-4"/>
          <w:sz w:val="28"/>
          <w:szCs w:val="28"/>
        </w:rPr>
        <w:t>固定资产管理水平有待提高</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pStyle w:val="4"/>
        <w:spacing w:line="360" w:lineRule="auto"/>
        <w:rPr>
          <w:rFonts w:ascii="仿宋" w:hAnsi="仿宋" w:eastAsia="仿宋"/>
        </w:rPr>
      </w:pPr>
      <w:bookmarkStart w:id="33" w:name="_Toc70450319"/>
      <w:r>
        <w:rPr>
          <w:rStyle w:val="16"/>
          <w:rFonts w:hint="eastAsia" w:ascii="仿宋" w:hAnsi="仿宋" w:eastAsia="仿宋"/>
          <w:b/>
          <w:bCs/>
        </w:rPr>
        <w:t>（一）改进措施</w:t>
      </w:r>
      <w:bookmarkEnd w:id="33"/>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4" w:name="_Toc70450320"/>
      <w:r>
        <w:rPr>
          <w:rStyle w:val="16"/>
          <w:rFonts w:hint="eastAsia" w:ascii="仿宋" w:hAnsi="仿宋" w:eastAsia="仿宋"/>
          <w:b/>
          <w:bCs/>
        </w:rPr>
        <w:t>（二）建议</w:t>
      </w:r>
      <w:bookmarkEnd w:id="34"/>
    </w:p>
    <w:p>
      <w:pPr>
        <w:spacing w:line="360" w:lineRule="auto"/>
        <w:ind w:firstLine="544" w:firstLineChars="200"/>
        <w:rPr>
          <w:rStyle w:val="16"/>
          <w:rFonts w:hint="eastAsia" w:ascii="仿宋_GB2312" w:hAnsi="楷体" w:eastAsia="仿宋_GB2312"/>
          <w:b w:val="0"/>
          <w:spacing w:val="-4"/>
          <w:sz w:val="28"/>
          <w:szCs w:val="28"/>
        </w:rPr>
      </w:pPr>
      <w:bookmarkStart w:id="35" w:name="_Toc70450321"/>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）加强学习。进一步明确如何参照考核体系，科学合理设定绩效目标，充分发挥预算绩效管理工作效用。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）财务上，会计核算要更加详细，为本单位各项工作的开展、总结、评估提供有效数据资料支撑,为各项业务工作更好的开展提供帮助。</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5</w:t>
      </w:r>
      <w:r>
        <w:rPr>
          <w:rStyle w:val="16"/>
          <w:rFonts w:hint="eastAsia" w:ascii="仿宋_GB2312" w:hAnsi="楷体" w:eastAsia="仿宋_GB2312"/>
          <w:b w:val="0"/>
          <w:spacing w:val="-4"/>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ind w:firstLine="544" w:firstLineChars="200"/>
        <w:rPr>
          <w:rStyle w:val="16"/>
          <w:rFonts w:hint="eastAsia" w:ascii="仿宋_GB2312" w:hAnsi="楷体" w:eastAsia="仿宋_GB2312"/>
          <w:b w:val="0"/>
          <w:spacing w:val="-4"/>
          <w:sz w:val="28"/>
          <w:szCs w:val="28"/>
        </w:rPr>
      </w:pPr>
    </w:p>
    <w:p>
      <w:pPr>
        <w:spacing w:line="360" w:lineRule="auto"/>
        <w:ind w:firstLine="544" w:firstLineChars="200"/>
        <w:rPr>
          <w:rStyle w:val="16"/>
          <w:rFonts w:hint="eastAsia" w:ascii="仿宋_GB2312" w:hAnsi="楷体" w:eastAsia="仿宋_GB2312"/>
          <w:b w:val="0"/>
          <w:spacing w:val="-4"/>
          <w:sz w:val="28"/>
          <w:szCs w:val="28"/>
        </w:rPr>
      </w:pPr>
    </w:p>
    <w:p>
      <w:pPr>
        <w:spacing w:line="360" w:lineRule="auto"/>
        <w:ind w:firstLine="544" w:firstLineChars="200"/>
        <w:rPr>
          <w:rStyle w:val="16"/>
          <w:rFonts w:hint="eastAsia" w:ascii="仿宋_GB2312" w:hAnsi="楷体" w:eastAsia="仿宋_GB2312"/>
          <w:b w:val="0"/>
          <w:spacing w:val="-4"/>
          <w:sz w:val="28"/>
          <w:szCs w:val="28"/>
        </w:rPr>
      </w:pPr>
    </w:p>
    <w:p>
      <w:pPr>
        <w:spacing w:line="360" w:lineRule="auto"/>
        <w:ind w:firstLine="544" w:firstLineChars="200"/>
        <w:rPr>
          <w:rStyle w:val="16"/>
          <w:rFonts w:hint="eastAsia" w:ascii="仿宋_GB2312" w:hAnsi="楷体" w:eastAsia="仿宋_GB2312"/>
          <w:b w:val="0"/>
          <w:spacing w:val="-4"/>
          <w:sz w:val="28"/>
          <w:szCs w:val="28"/>
        </w:rPr>
      </w:pPr>
    </w:p>
    <w:p>
      <w:pPr>
        <w:pStyle w:val="3"/>
        <w:spacing w:line="360" w:lineRule="auto"/>
        <w:rPr>
          <w:rStyle w:val="16"/>
          <w:rFonts w:hint="eastAsia" w:ascii="仿宋_GB2312" w:hAnsi="楷体" w:eastAsia="仿宋_GB2312"/>
          <w:b w:val="0"/>
          <w:bCs/>
          <w:spacing w:val="-4"/>
          <w:sz w:val="28"/>
          <w:szCs w:val="28"/>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6"/>
    </w:p>
    <w:tbl>
      <w:tblPr>
        <w:tblStyle w:val="14"/>
        <w:tblpPr w:leftFromText="180" w:rightFromText="180" w:vertAnchor="text" w:horzAnchor="page" w:tblpX="895" w:tblpY="854"/>
        <w:tblOverlap w:val="never"/>
        <w:tblW w:w="92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7"/>
        <w:gridCol w:w="972"/>
        <w:gridCol w:w="2095"/>
        <w:gridCol w:w="959"/>
        <w:gridCol w:w="959"/>
        <w:gridCol w:w="959"/>
        <w:gridCol w:w="959"/>
        <w:gridCol w:w="479"/>
        <w:gridCol w:w="48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279"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279"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w:t>
            </w:r>
          </w:p>
        </w:tc>
        <w:tc>
          <w:tcPr>
            <w:tcW w:w="785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特克斯县高级中学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8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6"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24"/>
                <w:szCs w:val="24"/>
                <w:u w:val="none"/>
                <w:lang w:val="en-US" w:eastAsia="zh-CN" w:bidi="ar"/>
              </w:rPr>
              <w:t>人员保障</w:t>
            </w:r>
          </w:p>
        </w:tc>
        <w:tc>
          <w:tcPr>
            <w:tcW w:w="2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用于保障部门单位人员发放工资福利支出及对个人和家庭补助</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20"/>
                <w:szCs w:val="20"/>
                <w:u w:val="none"/>
                <w:lang w:val="en-US" w:eastAsia="zh-CN" w:bidi="ar"/>
              </w:rPr>
              <w:t xml:space="preserve">2950.11 </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kern w:val="0"/>
                <w:sz w:val="20"/>
                <w:szCs w:val="20"/>
                <w:u w:val="none"/>
                <w:lang w:val="en-US" w:eastAsia="zh-CN" w:bidi="ar"/>
              </w:rPr>
              <w:t xml:space="preserve">2950.11 </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 xml:space="preserve">2950.11 </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 xml:space="preserve">2950.11 </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3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b/>
                <w:bCs/>
                <w:i w:val="0"/>
                <w:iCs w:val="0"/>
                <w:color w:val="000000"/>
                <w:kern w:val="0"/>
                <w:sz w:val="24"/>
                <w:szCs w:val="24"/>
                <w:u w:val="none"/>
                <w:lang w:val="en-US" w:eastAsia="zh-CN" w:bidi="ar"/>
              </w:rPr>
              <w:t>金额合计</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rPr>
            </w:pPr>
            <w:r>
              <w:rPr>
                <w:rFonts w:hint="eastAsia" w:ascii="宋体" w:hAnsi="宋体" w:eastAsia="宋体" w:cs="宋体"/>
                <w:i w:val="0"/>
                <w:iCs w:val="0"/>
                <w:color w:val="000000"/>
                <w:kern w:val="0"/>
                <w:sz w:val="20"/>
                <w:szCs w:val="20"/>
                <w:u w:val="none"/>
                <w:lang w:val="en-US" w:eastAsia="zh-CN" w:bidi="ar"/>
              </w:rPr>
              <w:t xml:space="preserve">2950.11 </w:t>
            </w:r>
          </w:p>
        </w:tc>
        <w:tc>
          <w:tcPr>
            <w:tcW w:w="9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kern w:val="0"/>
                <w:sz w:val="20"/>
                <w:szCs w:val="20"/>
                <w:u w:val="none"/>
                <w:lang w:val="en-US" w:eastAsia="zh-CN" w:bidi="ar"/>
              </w:rPr>
              <w:t xml:space="preserve">2950.11 </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 xml:space="preserve">2950.11 </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 xml:space="preserve">2950.11 </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7"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宋体" w:hAnsi="宋体" w:eastAsia="宋体" w:cs="宋体"/>
                <w:b/>
                <w:bCs/>
                <w:i w:val="0"/>
                <w:iCs w:val="0"/>
                <w:color w:val="000000"/>
                <w:kern w:val="0"/>
                <w:sz w:val="24"/>
                <w:szCs w:val="24"/>
                <w:u w:val="none"/>
                <w:lang w:val="en-US" w:eastAsia="zh-CN" w:bidi="ar"/>
              </w:rPr>
              <w:t>预期目标</w:t>
            </w:r>
          </w:p>
        </w:tc>
        <w:tc>
          <w:tcPr>
            <w:tcW w:w="47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4026"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目标1：确保人员经费的合理分配。目标2：完成在职教师工资发放、按时完成社保、公积金缴纳。目标3：及时完成退休教师取暖费、计生奖励金目发放。目标4：完成每年教学任务。目5：全面推进各类教师能力提升培训，加强教师队伍建设。目标6：好教育教学管理工作。</w:t>
            </w:r>
          </w:p>
        </w:tc>
        <w:tc>
          <w:tcPr>
            <w:tcW w:w="479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i w:val="0"/>
                <w:iCs w:val="0"/>
                <w:color w:val="000000"/>
                <w:kern w:val="0"/>
                <w:sz w:val="20"/>
                <w:szCs w:val="20"/>
                <w:u w:val="none"/>
                <w:lang w:val="en-US" w:eastAsia="zh-CN" w:bidi="ar"/>
              </w:rPr>
              <w:t>完成人员经费的合理分配。完成在职教师工资发放、按时完成社保、公积金缴纳。及时完成退休教师取暖费、计生奖励金目发放。完成每年教学任务，完成全面推进各类教师能力提升培训，加强教师队伍建设。完成2021年各项教育教学管理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5" w:hRule="atLeast"/>
        </w:trPr>
        <w:tc>
          <w:tcPr>
            <w:tcW w:w="4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7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209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二级指标</w:t>
            </w:r>
          </w:p>
        </w:tc>
        <w:tc>
          <w:tcPr>
            <w:tcW w:w="2877"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三级指标</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1"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产出指标</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数量指标</w:t>
            </w: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保障在职人员人数</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=251人</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251人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退休人员数</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=96人</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96人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保障补贴人员人数</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=347人</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347人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质量指标</w:t>
            </w: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工资及公用经费保障率</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时效指标</w:t>
            </w: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资金发放及时性</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成本指标</w:t>
            </w: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保障人员人均支出标准</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≤117534元/人/年</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117534元/人/年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退休人员计生奖励</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≤1832.42元/人/年</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1832.42元/人/年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采暖补贴</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≤1300元/人/年</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1300元/人/年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遗属补助</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≤5760元/人/年</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5760元/人/年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效益指标</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保证教学任务及时完成</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有效保证</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有效保证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nil"/>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保证教师队伍稳定</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有效保证</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有效保证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restart"/>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教师满意度</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≥95%</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57"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2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退休教师满意度</w:t>
            </w:r>
          </w:p>
        </w:tc>
        <w:tc>
          <w:tcPr>
            <w:tcW w:w="14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≥95%</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8"/>
                <w:szCs w:val="18"/>
                <w:u w:val="none"/>
                <w:lang w:val="en-US" w:eastAsia="zh-CN" w:bidi="ar"/>
              </w:rPr>
              <w:t>95%</w:t>
            </w:r>
          </w:p>
        </w:tc>
      </w:tr>
      <w:bookmarkEnd w:id="35"/>
    </w:tbl>
    <w:p>
      <w:pPr>
        <w:rPr>
          <w:rFonts w:hint="eastAsia"/>
          <w:sz w:val="15"/>
          <w:szCs w:val="15"/>
        </w:rPr>
      </w:pPr>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0FD617F"/>
    <w:rsid w:val="04345811"/>
    <w:rsid w:val="0E9A5E97"/>
    <w:rsid w:val="152F2F79"/>
    <w:rsid w:val="166C0F0E"/>
    <w:rsid w:val="168A4516"/>
    <w:rsid w:val="171413CF"/>
    <w:rsid w:val="181A6E75"/>
    <w:rsid w:val="1C07083C"/>
    <w:rsid w:val="1EB60E4D"/>
    <w:rsid w:val="250133D7"/>
    <w:rsid w:val="260C1D09"/>
    <w:rsid w:val="28CD03A2"/>
    <w:rsid w:val="28DE16DC"/>
    <w:rsid w:val="32067BDB"/>
    <w:rsid w:val="35754529"/>
    <w:rsid w:val="38CA12D1"/>
    <w:rsid w:val="43E82F7F"/>
    <w:rsid w:val="479559FD"/>
    <w:rsid w:val="4CDB4EA8"/>
    <w:rsid w:val="4F1418FD"/>
    <w:rsid w:val="4F9B57C9"/>
    <w:rsid w:val="584A6390"/>
    <w:rsid w:val="660202AA"/>
    <w:rsid w:val="6AC13272"/>
    <w:rsid w:val="6B8359E9"/>
    <w:rsid w:val="6BF97D12"/>
    <w:rsid w:val="70912956"/>
    <w:rsid w:val="74332853"/>
    <w:rsid w:val="788E0E78"/>
    <w:rsid w:val="7A08479F"/>
    <w:rsid w:val="7A966B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8679</Words>
  <Characters>9346</Characters>
  <Lines>72</Lines>
  <Paragraphs>20</Paragraphs>
  <TotalTime>5</TotalTime>
  <ScaleCrop>false</ScaleCrop>
  <LinksUpToDate>false</LinksUpToDate>
  <CharactersWithSpaces>9385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2022-05-27T05:35:14Z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205947AA931A49C1967F35D68B5A5C21</vt:lpwstr>
  </property>
</Properties>
</file>